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9441F" w14:textId="161DDBF0" w:rsidR="001E070F" w:rsidRDefault="009605FE">
      <w:r>
        <w:rPr>
          <w:noProof/>
        </w:rPr>
        <w:drawing>
          <wp:anchor distT="0" distB="0" distL="114300" distR="114300" simplePos="0" relativeHeight="251667456" behindDoc="0" locked="0" layoutInCell="1" allowOverlap="1" wp14:anchorId="458F7025" wp14:editId="3AFADD0A">
            <wp:simplePos x="0" y="0"/>
            <wp:positionH relativeFrom="column">
              <wp:posOffset>-63500</wp:posOffset>
            </wp:positionH>
            <wp:positionV relativeFrom="paragraph">
              <wp:posOffset>0</wp:posOffset>
            </wp:positionV>
            <wp:extent cx="7421880" cy="9605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Impact-Graphic.jpg"/>
                    <pic:cNvPicPr/>
                  </pic:nvPicPr>
                  <pic:blipFill>
                    <a:blip r:embed="rId4">
                      <a:extLst>
                        <a:ext uri="{28A0092B-C50C-407E-A947-70E740481C1C}">
                          <a14:useLocalDpi xmlns:a14="http://schemas.microsoft.com/office/drawing/2010/main" val="0"/>
                        </a:ext>
                      </a:extLst>
                    </a:blip>
                    <a:stretch>
                      <a:fillRect/>
                    </a:stretch>
                  </pic:blipFill>
                  <pic:spPr>
                    <a:xfrm>
                      <a:off x="0" y="0"/>
                      <a:ext cx="7421880" cy="9605010"/>
                    </a:xfrm>
                    <a:prstGeom prst="rect">
                      <a:avLst/>
                    </a:prstGeom>
                  </pic:spPr>
                </pic:pic>
              </a:graphicData>
            </a:graphic>
            <wp14:sizeRelH relativeFrom="page">
              <wp14:pctWidth>0</wp14:pctWidth>
            </wp14:sizeRelH>
            <wp14:sizeRelV relativeFrom="page">
              <wp14:pctHeight>0</wp14:pctHeight>
            </wp14:sizeRelV>
          </wp:anchor>
        </w:drawing>
      </w:r>
    </w:p>
    <w:p w14:paraId="6E0736B2" w14:textId="77777777" w:rsidR="00CA438E" w:rsidRDefault="00CA438E" w:rsidP="001E070F">
      <w:pPr>
        <w:rPr>
          <w:rFonts w:ascii="Franklin Gothic Book" w:eastAsia="Times New Roman" w:hAnsi="Franklin Gothic Book" w:cs="Times New Roman"/>
          <w:color w:val="000000"/>
          <w:sz w:val="22"/>
          <w:szCs w:val="22"/>
          <w:shd w:val="clear" w:color="auto" w:fill="FFFFFF"/>
        </w:rPr>
        <w:sectPr w:rsidR="00CA438E" w:rsidSect="001E070F">
          <w:pgSz w:w="12240" w:h="15840"/>
          <w:pgMar w:top="360" w:right="360" w:bottom="360" w:left="360" w:header="720" w:footer="720" w:gutter="0"/>
          <w:cols w:space="720"/>
          <w:docGrid w:linePitch="360"/>
        </w:sectPr>
      </w:pPr>
    </w:p>
    <w:p w14:paraId="25CA37E9" w14:textId="2849F734" w:rsidR="00CA438E" w:rsidRDefault="00CA438E" w:rsidP="001E070F">
      <w:pPr>
        <w:rPr>
          <w:rFonts w:ascii="Franklin Gothic Book" w:eastAsia="Times New Roman" w:hAnsi="Franklin Gothic Book" w:cs="Times New Roman"/>
          <w:color w:val="000000"/>
          <w:sz w:val="22"/>
          <w:szCs w:val="22"/>
        </w:rPr>
        <w:sectPr w:rsidR="00CA438E" w:rsidSect="00CA438E">
          <w:type w:val="continuous"/>
          <w:pgSz w:w="12240" w:h="15840"/>
          <w:pgMar w:top="360" w:right="360" w:bottom="360" w:left="360" w:header="720" w:footer="720" w:gutter="0"/>
          <w:cols w:space="720"/>
          <w:docGrid w:linePitch="360"/>
        </w:sectPr>
      </w:pPr>
      <w:r>
        <w:rPr>
          <w:rFonts w:ascii="Franklin Gothic Book" w:eastAsia="Times New Roman" w:hAnsi="Franklin Gothic Book" w:cs="Times New Roman"/>
          <w:noProof/>
          <w:sz w:val="22"/>
          <w:szCs w:val="22"/>
        </w:rPr>
        <w:lastRenderedPageBreak/>
        <w:drawing>
          <wp:anchor distT="0" distB="0" distL="114300" distR="114300" simplePos="0" relativeHeight="251666432" behindDoc="1" locked="0" layoutInCell="1" allowOverlap="1" wp14:anchorId="1E8B5A07" wp14:editId="2A3DB6AF">
            <wp:simplePos x="0" y="0"/>
            <wp:positionH relativeFrom="column">
              <wp:posOffset>92539</wp:posOffset>
            </wp:positionH>
            <wp:positionV relativeFrom="paragraph">
              <wp:posOffset>5479</wp:posOffset>
            </wp:positionV>
            <wp:extent cx="7315200" cy="9466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 Impact backdrop .jpg"/>
                    <pic:cNvPicPr/>
                  </pic:nvPicPr>
                  <pic:blipFill>
                    <a:blip r:embed="rId5">
                      <a:alphaModFix amt="16000"/>
                      <a:extLst>
                        <a:ext uri="{28A0092B-C50C-407E-A947-70E740481C1C}">
                          <a14:useLocalDpi xmlns:a14="http://schemas.microsoft.com/office/drawing/2010/main" val="0"/>
                        </a:ext>
                      </a:extLst>
                    </a:blip>
                    <a:stretch>
                      <a:fillRect/>
                    </a:stretch>
                  </pic:blipFill>
                  <pic:spPr>
                    <a:xfrm>
                      <a:off x="0" y="0"/>
                      <a:ext cx="7315200" cy="9466580"/>
                    </a:xfrm>
                    <a:prstGeom prst="rect">
                      <a:avLst/>
                    </a:prstGeom>
                  </pic:spPr>
                </pic:pic>
              </a:graphicData>
            </a:graphic>
            <wp14:sizeRelH relativeFrom="page">
              <wp14:pctWidth>0</wp14:pctWidth>
            </wp14:sizeRelH>
            <wp14:sizeRelV relativeFrom="page">
              <wp14:pctHeight>0</wp14:pctHeight>
            </wp14:sizeRelV>
          </wp:anchor>
        </w:drawing>
      </w:r>
      <w:r w:rsidR="001E070F" w:rsidRPr="001E070F">
        <w:rPr>
          <w:rFonts w:ascii="Franklin Gothic Book" w:eastAsia="Times New Roman" w:hAnsi="Franklin Gothic Book" w:cs="Times New Roman"/>
          <w:color w:val="000000"/>
          <w:sz w:val="22"/>
          <w:szCs w:val="22"/>
          <w:shd w:val="clear" w:color="auto" w:fill="FFFFFF"/>
        </w:rPr>
        <w:t>Enabling services are non-clinical services that increase access to health care and improve health outcomes for patients and communities.</w:t>
      </w:r>
      <w:r w:rsidR="001E070F" w:rsidRPr="001E070F">
        <w:rPr>
          <w:rFonts w:ascii="Franklin Gothic Book" w:eastAsia="Times New Roman" w:hAnsi="Franklin Gothic Book" w:cs="Times New Roman"/>
          <w:color w:val="000000"/>
          <w:sz w:val="22"/>
          <w:szCs w:val="22"/>
        </w:rPr>
        <w:t xml:space="preserve"> Enabling services at community health centers (CHCs) include outreach, language interpretation, eligibility assistance, health education, transportation, and case management. Enabling services are an increasingly important way that health centers advance the </w:t>
      </w:r>
      <w:r w:rsidR="00A7150D">
        <w:rPr>
          <w:rFonts w:ascii="Franklin Gothic Book" w:eastAsia="Times New Roman" w:hAnsi="Franklin Gothic Book" w:cs="Times New Roman"/>
          <w:color w:val="000000"/>
          <w:sz w:val="22"/>
          <w:szCs w:val="22"/>
        </w:rPr>
        <w:t>Q</w:t>
      </w:r>
      <w:r w:rsidR="001E070F" w:rsidRPr="001E070F">
        <w:rPr>
          <w:rFonts w:ascii="Franklin Gothic Book" w:eastAsia="Times New Roman" w:hAnsi="Franklin Gothic Book" w:cs="Times New Roman"/>
          <w:color w:val="000000"/>
          <w:sz w:val="22"/>
          <w:szCs w:val="22"/>
        </w:rPr>
        <w:t xml:space="preserve">uadruple </w:t>
      </w:r>
      <w:r w:rsidR="00A7150D">
        <w:rPr>
          <w:rFonts w:ascii="Franklin Gothic Book" w:eastAsia="Times New Roman" w:hAnsi="Franklin Gothic Book" w:cs="Times New Roman"/>
          <w:color w:val="000000"/>
          <w:sz w:val="22"/>
          <w:szCs w:val="22"/>
        </w:rPr>
        <w:t>A</w:t>
      </w:r>
      <w:r w:rsidR="001E070F" w:rsidRPr="001E070F">
        <w:rPr>
          <w:rFonts w:ascii="Franklin Gothic Book" w:eastAsia="Times New Roman" w:hAnsi="Franklin Gothic Book" w:cs="Times New Roman"/>
          <w:color w:val="000000"/>
          <w:sz w:val="22"/>
          <w:szCs w:val="22"/>
        </w:rPr>
        <w:t>im. By focusing on the holistic health of the patient and care coordination, health outcomes are improved on a wide range of clinical measures. Enabling services such as case management and transportation access increase access to preventive health services, which reduces long-term costs through the reduction of ER visits and effective chronic disease management. When resources are expanded, providers</w:t>
      </w:r>
      <w:r w:rsidR="001656A6">
        <w:rPr>
          <w:rFonts w:ascii="Franklin Gothic Book" w:eastAsia="Times New Roman" w:hAnsi="Franklin Gothic Book" w:cs="Times New Roman"/>
          <w:color w:val="000000"/>
          <w:sz w:val="22"/>
          <w:szCs w:val="22"/>
        </w:rPr>
        <w:t>’</w:t>
      </w:r>
      <w:r w:rsidR="001E070F" w:rsidRPr="001E070F">
        <w:rPr>
          <w:rFonts w:ascii="Franklin Gothic Book" w:eastAsia="Times New Roman" w:hAnsi="Franklin Gothic Book" w:cs="Times New Roman"/>
          <w:color w:val="000000"/>
          <w:sz w:val="22"/>
          <w:szCs w:val="22"/>
        </w:rPr>
        <w:t xml:space="preserve"> work life is </w:t>
      </w:r>
      <w:proofErr w:type="gramStart"/>
      <w:r w:rsidR="001E070F" w:rsidRPr="001E070F">
        <w:rPr>
          <w:rFonts w:ascii="Franklin Gothic Book" w:eastAsia="Times New Roman" w:hAnsi="Franklin Gothic Book" w:cs="Times New Roman"/>
          <w:color w:val="000000"/>
          <w:sz w:val="22"/>
          <w:szCs w:val="22"/>
        </w:rPr>
        <w:t>improved</w:t>
      </w:r>
      <w:proofErr w:type="gramEnd"/>
      <w:r w:rsidR="001E070F" w:rsidRPr="001E070F">
        <w:rPr>
          <w:rFonts w:ascii="Franklin Gothic Book" w:eastAsia="Times New Roman" w:hAnsi="Franklin Gothic Book" w:cs="Times New Roman"/>
          <w:color w:val="000000"/>
          <w:sz w:val="22"/>
          <w:szCs w:val="22"/>
        </w:rPr>
        <w:t xml:space="preserve"> and patients’ satisfaction improve. The end results support and iterate each other.</w:t>
      </w:r>
    </w:p>
    <w:p w14:paraId="59CFB930" w14:textId="77777777" w:rsidR="004B3698" w:rsidRPr="001E070F" w:rsidRDefault="00345A21">
      <w:pPr>
        <w:rPr>
          <w:rFonts w:ascii="Franklin Gothic Book" w:hAnsi="Franklin Gothic Book"/>
          <w:sz w:val="22"/>
          <w:szCs w:val="22"/>
        </w:rPr>
      </w:pPr>
      <w:bookmarkStart w:id="0" w:name="_GoBack"/>
      <w:bookmarkEnd w:id="0"/>
    </w:p>
    <w:p w14:paraId="11005496" w14:textId="58B069FF" w:rsidR="001E070F" w:rsidRPr="001E070F" w:rsidRDefault="00CA438E" w:rsidP="001E070F">
      <w:pPr>
        <w:rPr>
          <w:rFonts w:ascii="Franklin Gothic Book" w:eastAsia="Times New Roman" w:hAnsi="Franklin Gothic Book" w:cs="Times New Roman"/>
          <w:sz w:val="22"/>
          <w:szCs w:val="22"/>
        </w:rPr>
      </w:pPr>
      <w:r>
        <w:rPr>
          <w:noProof/>
        </w:rPr>
        <mc:AlternateContent>
          <mc:Choice Requires="wps">
            <w:drawing>
              <wp:anchor distT="0" distB="0" distL="114300" distR="114300" simplePos="0" relativeHeight="251659264" behindDoc="0" locked="0" layoutInCell="1" allowOverlap="1" wp14:anchorId="7DE92A28" wp14:editId="75033125">
                <wp:simplePos x="0" y="0"/>
                <wp:positionH relativeFrom="column">
                  <wp:posOffset>-63500</wp:posOffset>
                </wp:positionH>
                <wp:positionV relativeFrom="paragraph">
                  <wp:posOffset>633730</wp:posOffset>
                </wp:positionV>
                <wp:extent cx="7315200" cy="38227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315200" cy="382270"/>
                        </a:xfrm>
                        <a:prstGeom prst="rect">
                          <a:avLst/>
                        </a:prstGeom>
                        <a:solidFill>
                          <a:srgbClr val="27A5BE"/>
                        </a:solidFill>
                        <a:ln>
                          <a:noFill/>
                        </a:ln>
                        <a:effectLst/>
                      </wps:spPr>
                      <wps:style>
                        <a:lnRef idx="0">
                          <a:schemeClr val="accent1"/>
                        </a:lnRef>
                        <a:fillRef idx="0">
                          <a:schemeClr val="accent1"/>
                        </a:fillRef>
                        <a:effectRef idx="0">
                          <a:schemeClr val="accent1"/>
                        </a:effectRef>
                        <a:fontRef idx="minor">
                          <a:schemeClr val="dk1"/>
                        </a:fontRef>
                      </wps:style>
                      <wps:txbx>
                        <w:txbxContent>
                          <w:p w14:paraId="41DB861F" w14:textId="77777777" w:rsidR="001E070F" w:rsidRPr="00CA438E" w:rsidRDefault="001E070F">
                            <w:pPr>
                              <w:rPr>
                                <w:rFonts w:ascii="Franklin Gothic Book" w:hAnsi="Franklin Gothic Book"/>
                                <w:b/>
                                <w:color w:val="FFFFFF" w:themeColor="background1"/>
                                <w:sz w:val="32"/>
                                <w:szCs w:val="32"/>
                              </w:rPr>
                            </w:pPr>
                            <w:r w:rsidRPr="00CA438E">
                              <w:rPr>
                                <w:rFonts w:ascii="Franklin Gothic Book" w:hAnsi="Franklin Gothic Book"/>
                                <w:b/>
                                <w:color w:val="FFFFFF" w:themeColor="background1"/>
                                <w:sz w:val="32"/>
                                <w:szCs w:val="32"/>
                              </w:rPr>
                              <w:t>ENHANCE PATIENT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w14:anchorId="7DE92A28" id="_x0000_t202" coordsize="21600,21600" o:spt="202" path="m0,0l0,21600,21600,21600,21600,0xe">
                <v:stroke joinstyle="miter"/>
                <v:path gradientshapeok="t" o:connecttype="rect"/>
              </v:shapetype>
              <v:shape id="Text Box 3" o:spid="_x0000_s1026" type="#_x0000_t202" style="position:absolute;margin-left:-5pt;margin-top:49.9pt;width:8in;height:3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" fillcolor="#27a5be" stroked="f">
                <v:textbox>
                  <w:txbxContent>
                    <w:p w14:paraId="41DB861F" w14:textId="77777777" w:rsidR="001E070F" w:rsidRPr="00CA438E" w:rsidRDefault="001E070F">
                      <w:pPr>
                        <w:rPr>
                          <w:rFonts w:ascii="Franklin Gothic Book" w:hAnsi="Franklin Gothic Book"/>
                          <w:b/>
                          <w:color w:val="FFFFFF" w:themeColor="background1"/>
                          <w:sz w:val="32"/>
                          <w:szCs w:val="32"/>
                        </w:rPr>
                      </w:pPr>
                      <w:r w:rsidRPr="00CA438E">
                        <w:rPr>
                          <w:rFonts w:ascii="Franklin Gothic Book" w:hAnsi="Franklin Gothic Book"/>
                          <w:b/>
                          <w:color w:val="FFFFFF" w:themeColor="background1"/>
                          <w:sz w:val="32"/>
                          <w:szCs w:val="32"/>
                        </w:rPr>
                        <w:t>ENHANCE PATIENT EXPERIENCE</w:t>
                      </w:r>
                    </w:p>
                  </w:txbxContent>
                </v:textbox>
                <w10:wrap type="square"/>
              </v:shape>
            </w:pict>
          </mc:Fallback>
        </mc:AlternateContent>
      </w:r>
      <w:r w:rsidR="001E070F" w:rsidRPr="001E070F">
        <w:rPr>
          <w:rFonts w:ascii="Franklin Gothic Book" w:eastAsia="Times New Roman" w:hAnsi="Franklin Gothic Book" w:cs="Times New Roman"/>
          <w:color w:val="000000"/>
          <w:sz w:val="22"/>
          <w:szCs w:val="22"/>
        </w:rPr>
        <w:t xml:space="preserve">Below are </w:t>
      </w:r>
      <w:r w:rsidR="00BB17AE">
        <w:rPr>
          <w:rFonts w:ascii="Franklin Gothic Book" w:eastAsia="Times New Roman" w:hAnsi="Franklin Gothic Book" w:cs="Times New Roman"/>
          <w:color w:val="000000"/>
          <w:sz w:val="22"/>
          <w:szCs w:val="22"/>
        </w:rPr>
        <w:t xml:space="preserve">the </w:t>
      </w:r>
      <w:r w:rsidR="00A7150D">
        <w:rPr>
          <w:rFonts w:ascii="Franklin Gothic Book" w:eastAsia="Times New Roman" w:hAnsi="Franklin Gothic Book" w:cs="Times New Roman"/>
          <w:color w:val="000000"/>
          <w:sz w:val="22"/>
          <w:szCs w:val="22"/>
        </w:rPr>
        <w:t>Q</w:t>
      </w:r>
      <w:r w:rsidR="00BB17AE">
        <w:rPr>
          <w:rFonts w:ascii="Franklin Gothic Book" w:eastAsia="Times New Roman" w:hAnsi="Franklin Gothic Book" w:cs="Times New Roman"/>
          <w:color w:val="000000"/>
          <w:sz w:val="22"/>
          <w:szCs w:val="22"/>
        </w:rPr>
        <w:t xml:space="preserve">uadruple </w:t>
      </w:r>
      <w:r w:rsidR="00A7150D">
        <w:rPr>
          <w:rFonts w:ascii="Franklin Gothic Book" w:eastAsia="Times New Roman" w:hAnsi="Franklin Gothic Book" w:cs="Times New Roman"/>
          <w:color w:val="000000"/>
          <w:sz w:val="22"/>
          <w:szCs w:val="22"/>
        </w:rPr>
        <w:t>A</w:t>
      </w:r>
      <w:r w:rsidR="00BB17AE">
        <w:rPr>
          <w:rFonts w:ascii="Franklin Gothic Book" w:eastAsia="Times New Roman" w:hAnsi="Franklin Gothic Book" w:cs="Times New Roman"/>
          <w:color w:val="000000"/>
          <w:sz w:val="22"/>
          <w:szCs w:val="22"/>
        </w:rPr>
        <w:t xml:space="preserve">im </w:t>
      </w:r>
      <w:r w:rsidR="00225BDB">
        <w:rPr>
          <w:rFonts w:ascii="Franklin Gothic Book" w:eastAsia="Times New Roman" w:hAnsi="Franklin Gothic Book" w:cs="Times New Roman"/>
          <w:color w:val="000000"/>
          <w:sz w:val="22"/>
          <w:szCs w:val="22"/>
        </w:rPr>
        <w:t xml:space="preserve">categories and </w:t>
      </w:r>
      <w:r w:rsidR="001E070F" w:rsidRPr="001E070F">
        <w:rPr>
          <w:rFonts w:ascii="Franklin Gothic Book" w:eastAsia="Times New Roman" w:hAnsi="Franklin Gothic Book" w:cs="Times New Roman"/>
          <w:color w:val="000000"/>
          <w:sz w:val="22"/>
          <w:szCs w:val="22"/>
        </w:rPr>
        <w:t xml:space="preserve">examples of the ways in which </w:t>
      </w:r>
      <w:r w:rsidR="00225BDB">
        <w:rPr>
          <w:rFonts w:ascii="Franklin Gothic Book" w:eastAsia="Times New Roman" w:hAnsi="Franklin Gothic Book" w:cs="Times New Roman"/>
          <w:color w:val="000000"/>
          <w:sz w:val="22"/>
          <w:szCs w:val="22"/>
        </w:rPr>
        <w:t>i</w:t>
      </w:r>
      <w:r w:rsidR="00225BDB" w:rsidRPr="001E070F">
        <w:rPr>
          <w:rFonts w:ascii="Franklin Gothic Book" w:eastAsia="Times New Roman" w:hAnsi="Franklin Gothic Book" w:cs="Times New Roman"/>
          <w:color w:val="000000"/>
          <w:sz w:val="22"/>
          <w:szCs w:val="22"/>
        </w:rPr>
        <w:t xml:space="preserve">ntegrated </w:t>
      </w:r>
      <w:r w:rsidR="00225BDB">
        <w:rPr>
          <w:rFonts w:ascii="Franklin Gothic Book" w:eastAsia="Times New Roman" w:hAnsi="Franklin Gothic Book" w:cs="Times New Roman"/>
          <w:color w:val="000000"/>
          <w:sz w:val="22"/>
          <w:szCs w:val="22"/>
        </w:rPr>
        <w:t>v</w:t>
      </w:r>
      <w:r w:rsidR="001E070F" w:rsidRPr="001E070F">
        <w:rPr>
          <w:rFonts w:ascii="Franklin Gothic Book" w:eastAsia="Times New Roman" w:hAnsi="Franklin Gothic Book" w:cs="Times New Roman"/>
          <w:color w:val="000000"/>
          <w:sz w:val="22"/>
          <w:szCs w:val="22"/>
        </w:rPr>
        <w:t>alue-</w:t>
      </w:r>
      <w:r w:rsidR="00225BDB">
        <w:rPr>
          <w:rFonts w:ascii="Franklin Gothic Book" w:eastAsia="Times New Roman" w:hAnsi="Franklin Gothic Book" w:cs="Times New Roman"/>
          <w:color w:val="000000"/>
          <w:sz w:val="22"/>
          <w:szCs w:val="22"/>
        </w:rPr>
        <w:t>b</w:t>
      </w:r>
      <w:r w:rsidR="001E070F" w:rsidRPr="001E070F">
        <w:rPr>
          <w:rFonts w:ascii="Franklin Gothic Book" w:eastAsia="Times New Roman" w:hAnsi="Franklin Gothic Book" w:cs="Times New Roman"/>
          <w:color w:val="000000"/>
          <w:sz w:val="22"/>
          <w:szCs w:val="22"/>
        </w:rPr>
        <w:t xml:space="preserve">ased </w:t>
      </w:r>
      <w:r w:rsidR="00225BDB">
        <w:rPr>
          <w:rFonts w:ascii="Franklin Gothic Book" w:eastAsia="Times New Roman" w:hAnsi="Franklin Gothic Book" w:cs="Times New Roman"/>
          <w:color w:val="000000"/>
          <w:sz w:val="22"/>
          <w:szCs w:val="22"/>
        </w:rPr>
        <w:t>c</w:t>
      </w:r>
      <w:r w:rsidR="001E070F" w:rsidRPr="001E070F">
        <w:rPr>
          <w:rFonts w:ascii="Franklin Gothic Book" w:eastAsia="Times New Roman" w:hAnsi="Franklin Gothic Book" w:cs="Times New Roman"/>
          <w:color w:val="000000"/>
          <w:sz w:val="22"/>
          <w:szCs w:val="22"/>
        </w:rPr>
        <w:t>are enhances patient experience, improves population health, reduces cost</w:t>
      </w:r>
      <w:r w:rsidR="0081740C">
        <w:rPr>
          <w:rFonts w:ascii="Franklin Gothic Book" w:eastAsia="Times New Roman" w:hAnsi="Franklin Gothic Book" w:cs="Times New Roman"/>
          <w:color w:val="000000"/>
          <w:sz w:val="22"/>
          <w:szCs w:val="22"/>
        </w:rPr>
        <w:t>s</w:t>
      </w:r>
      <w:r w:rsidR="001E070F" w:rsidRPr="001E070F">
        <w:rPr>
          <w:rFonts w:ascii="Franklin Gothic Book" w:eastAsia="Times New Roman" w:hAnsi="Franklin Gothic Book" w:cs="Times New Roman"/>
          <w:color w:val="000000"/>
          <w:sz w:val="22"/>
          <w:szCs w:val="22"/>
        </w:rPr>
        <w:t>, and strengthens care team well</w:t>
      </w:r>
      <w:r w:rsidR="007439BA">
        <w:rPr>
          <w:rFonts w:ascii="Franklin Gothic Book" w:eastAsia="Times New Roman" w:hAnsi="Franklin Gothic Book" w:cs="Times New Roman"/>
          <w:color w:val="000000"/>
          <w:sz w:val="22"/>
          <w:szCs w:val="22"/>
        </w:rPr>
        <w:t>-</w:t>
      </w:r>
      <w:r w:rsidR="001E070F" w:rsidRPr="001E070F">
        <w:rPr>
          <w:rFonts w:ascii="Franklin Gothic Book" w:eastAsia="Times New Roman" w:hAnsi="Franklin Gothic Book" w:cs="Times New Roman"/>
          <w:color w:val="000000"/>
          <w:sz w:val="22"/>
          <w:szCs w:val="22"/>
        </w:rPr>
        <w:t xml:space="preserve">being. </w:t>
      </w:r>
      <w:r w:rsidR="001E070F" w:rsidRPr="008D628A">
        <w:rPr>
          <w:rFonts w:ascii="Franklin Gothic Book" w:eastAsia="Times New Roman" w:hAnsi="Franklin Gothic Book" w:cs="Times New Roman"/>
          <w:b/>
          <w:color w:val="000000"/>
          <w:sz w:val="22"/>
          <w:szCs w:val="22"/>
        </w:rPr>
        <w:t>Please feel free to edit these examples to best fit the audience you serve. Sources for the data are provided.</w:t>
      </w:r>
    </w:p>
    <w:p w14:paraId="54B9B26B" w14:textId="58FE9AD9" w:rsidR="00CA438E" w:rsidRPr="00CA438E" w:rsidRDefault="00CA438E" w:rsidP="00CA438E">
      <w:pPr>
        <w:spacing w:before="120"/>
        <w:rPr>
          <w:rFonts w:ascii="Franklin Gothic Book" w:eastAsia="Times New Roman" w:hAnsi="Franklin Gothic Book" w:cs="Times New Roman"/>
          <w:sz w:val="22"/>
          <w:szCs w:val="22"/>
        </w:rPr>
      </w:pPr>
      <w:r>
        <w:rPr>
          <w:noProof/>
        </w:rPr>
        <mc:AlternateContent>
          <mc:Choice Requires="wps">
            <w:drawing>
              <wp:anchor distT="0" distB="0" distL="114300" distR="114300" simplePos="0" relativeHeight="251661312" behindDoc="0" locked="0" layoutInCell="1" allowOverlap="1" wp14:anchorId="168158F2" wp14:editId="7B3E032B">
                <wp:simplePos x="0" y="0"/>
                <wp:positionH relativeFrom="column">
                  <wp:posOffset>-60960</wp:posOffset>
                </wp:positionH>
                <wp:positionV relativeFrom="paragraph">
                  <wp:posOffset>1527175</wp:posOffset>
                </wp:positionV>
                <wp:extent cx="7315200" cy="38227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315200" cy="382270"/>
                        </a:xfrm>
                        <a:prstGeom prst="rect">
                          <a:avLst/>
                        </a:prstGeom>
                        <a:solidFill>
                          <a:srgbClr val="27A5BE"/>
                        </a:solidFill>
                        <a:ln>
                          <a:noFill/>
                        </a:ln>
                        <a:effectLst/>
                      </wps:spPr>
                      <wps:style>
                        <a:lnRef idx="0">
                          <a:schemeClr val="accent1"/>
                        </a:lnRef>
                        <a:fillRef idx="0">
                          <a:schemeClr val="accent1"/>
                        </a:fillRef>
                        <a:effectRef idx="0">
                          <a:schemeClr val="accent1"/>
                        </a:effectRef>
                        <a:fontRef idx="minor">
                          <a:schemeClr val="dk1"/>
                        </a:fontRef>
                      </wps:style>
                      <wps:txbx>
                        <w:txbxContent>
                          <w:p w14:paraId="4A95CFDC" w14:textId="6F5AEA73"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IMPROVE POPULATION HEA</w:t>
                            </w:r>
                            <w:r w:rsidR="001F1150">
                              <w:rPr>
                                <w:rFonts w:ascii="Franklin Gothic Book" w:hAnsi="Franklin Gothic Book"/>
                                <w:b/>
                                <w:color w:val="FFFFFF" w:themeColor="background1"/>
                                <w:sz w:val="32"/>
                                <w:szCs w:val="32"/>
                              </w:rPr>
                              <w:t>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168158F2" id="Text Box 4" o:spid="_x0000_s1027" type="#_x0000_t202" style="position:absolute;margin-left:-4.8pt;margin-top:120.25pt;width:8in;height:30.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" fillcolor="#27a5be" stroked="f">
                <v:textbox>
                  <w:txbxContent>
                    <w:p w14:paraId="4A95CFDC" w14:textId="6F5AEA73"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IMPROVE POPULATION HEA</w:t>
                      </w:r>
                      <w:r w:rsidR="001F1150">
                        <w:rPr>
                          <w:rFonts w:ascii="Franklin Gothic Book" w:hAnsi="Franklin Gothic Book"/>
                          <w:b/>
                          <w:color w:val="FFFFFF" w:themeColor="background1"/>
                          <w:sz w:val="32"/>
                          <w:szCs w:val="32"/>
                        </w:rPr>
                        <w:t>LTH</w:t>
                      </w:r>
                    </w:p>
                  </w:txbxContent>
                </v:textbox>
                <w10:wrap type="square"/>
              </v:shape>
            </w:pict>
          </mc:Fallback>
        </mc:AlternateContent>
      </w:r>
      <w:r w:rsidRPr="00CA438E">
        <w:rPr>
          <w:rFonts w:ascii="Franklin Gothic Book" w:eastAsia="Times New Roman" w:hAnsi="Franklin Gothic Book" w:cs="Times New Roman"/>
          <w:color w:val="000000"/>
          <w:sz w:val="22"/>
          <w:szCs w:val="22"/>
        </w:rPr>
        <w:t>Through comprehensive Outreach &amp; Enrollment (O&amp;E) services, CHCs can enhance patient experience, improve population health, and reduce costs. By investing in O&amp;E, CHCs can reduce the number of uninsured patients, increase patients covered by Medicaid, increase total patients, and increase total gross revenue. With this extra revenue, CHCs can invest in quality and clinical initiatives to help improve patient health outcomes. For detailed examples, see the</w:t>
      </w:r>
      <w:hyperlink r:id="rId6" w:history="1">
        <w:r w:rsidRPr="00CA438E">
          <w:rPr>
            <w:rFonts w:ascii="Franklin Gothic Book" w:eastAsia="Times New Roman" w:hAnsi="Franklin Gothic Book" w:cs="Times New Roman"/>
            <w:color w:val="000000"/>
            <w:sz w:val="22"/>
            <w:szCs w:val="22"/>
          </w:rPr>
          <w:t xml:space="preserve"> </w:t>
        </w:r>
        <w:r w:rsidRPr="00CA438E">
          <w:rPr>
            <w:rFonts w:ascii="Franklin Gothic Book" w:eastAsia="Times New Roman" w:hAnsi="Franklin Gothic Book" w:cs="Times New Roman"/>
            <w:color w:val="1155CC"/>
            <w:sz w:val="22"/>
            <w:szCs w:val="22"/>
            <w:u w:val="single"/>
          </w:rPr>
          <w:t>NACHC Outreach &amp; Enrollment Case Studies</w:t>
        </w:r>
      </w:hyperlink>
      <w:r w:rsidR="007439BA">
        <w:rPr>
          <w:rFonts w:ascii="Franklin Gothic Book" w:eastAsia="Times New Roman" w:hAnsi="Franklin Gothic Book" w:cs="Times New Roman"/>
          <w:color w:val="000000"/>
          <w:sz w:val="22"/>
          <w:szCs w:val="22"/>
        </w:rPr>
        <w:t>.</w:t>
      </w:r>
    </w:p>
    <w:p w14:paraId="72FE87FD" w14:textId="3A876AAC" w:rsidR="00CA438E" w:rsidRPr="00CA438E" w:rsidRDefault="00CA438E" w:rsidP="00CA438E">
      <w:pPr>
        <w:spacing w:before="120"/>
        <w:rPr>
          <w:rFonts w:ascii="Franklin Gothic Book" w:eastAsia="Times New Roman" w:hAnsi="Franklin Gothic Book" w:cs="Times New Roman"/>
          <w:sz w:val="22"/>
          <w:szCs w:val="22"/>
        </w:rPr>
      </w:pPr>
      <w:r>
        <w:rPr>
          <w:noProof/>
        </w:rPr>
        <mc:AlternateContent>
          <mc:Choice Requires="wps">
            <w:drawing>
              <wp:anchor distT="0" distB="0" distL="114300" distR="114300" simplePos="0" relativeHeight="251663360" behindDoc="0" locked="0" layoutInCell="1" allowOverlap="1" wp14:anchorId="150C7EDC" wp14:editId="1B6B89AD">
                <wp:simplePos x="0" y="0"/>
                <wp:positionH relativeFrom="column">
                  <wp:posOffset>-60960</wp:posOffset>
                </wp:positionH>
                <wp:positionV relativeFrom="paragraph">
                  <wp:posOffset>1380490</wp:posOffset>
                </wp:positionV>
                <wp:extent cx="7315200" cy="3822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82270"/>
                        </a:xfrm>
                        <a:prstGeom prst="rect">
                          <a:avLst/>
                        </a:prstGeom>
                        <a:solidFill>
                          <a:srgbClr val="27A5BE"/>
                        </a:solidFill>
                        <a:ln>
                          <a:noFill/>
                        </a:ln>
                        <a:effectLst/>
                      </wps:spPr>
                      <wps:style>
                        <a:lnRef idx="0">
                          <a:schemeClr val="accent1"/>
                        </a:lnRef>
                        <a:fillRef idx="0">
                          <a:schemeClr val="accent1"/>
                        </a:fillRef>
                        <a:effectRef idx="0">
                          <a:schemeClr val="accent1"/>
                        </a:effectRef>
                        <a:fontRef idx="minor">
                          <a:schemeClr val="dk1"/>
                        </a:fontRef>
                      </wps:style>
                      <wps:txbx>
                        <w:txbxContent>
                          <w:p w14:paraId="60FA0D83" w14:textId="77777777"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REDUCE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150C7EDC" id="Text Box 5" o:spid="_x0000_s1028" type="#_x0000_t202" style="position:absolute;margin-left:-4.8pt;margin-top:108.7pt;width:8in;height:3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" fillcolor="#27a5be" stroked="f">
                <v:textbox>
                  <w:txbxContent>
                    <w:p w14:paraId="60FA0D83" w14:textId="77777777"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REDUCE COSTS</w:t>
                      </w:r>
                    </w:p>
                  </w:txbxContent>
                </v:textbox>
                <w10:wrap type="square"/>
              </v:shape>
            </w:pict>
          </mc:Fallback>
        </mc:AlternateContent>
      </w:r>
      <w:r w:rsidRPr="00CA438E">
        <w:rPr>
          <w:rFonts w:ascii="Franklin Gothic Book" w:eastAsia="Times New Roman" w:hAnsi="Franklin Gothic Book" w:cs="Times New Roman"/>
          <w:color w:val="000000"/>
          <w:sz w:val="22"/>
          <w:szCs w:val="22"/>
        </w:rPr>
        <w:t>Community Health Workers (CHWs) provide health services and interventions to individuals and entire communities that include health education, advocacy, social support, language interpretation and translation, and more. Through CHW programs, CHCs can see cost savings, increased patient outcomes, and fewer emergency health</w:t>
      </w:r>
      <w:r w:rsidR="007439BA">
        <w:rPr>
          <w:rFonts w:ascii="Franklin Gothic Book" w:eastAsia="Times New Roman" w:hAnsi="Franklin Gothic Book" w:cs="Times New Roman"/>
          <w:color w:val="000000"/>
          <w:sz w:val="22"/>
          <w:szCs w:val="22"/>
        </w:rPr>
        <w:t xml:space="preserve"> </w:t>
      </w:r>
      <w:r w:rsidRPr="00CA438E">
        <w:rPr>
          <w:rFonts w:ascii="Franklin Gothic Book" w:eastAsia="Times New Roman" w:hAnsi="Franklin Gothic Book" w:cs="Times New Roman"/>
          <w:color w:val="000000"/>
          <w:sz w:val="22"/>
          <w:szCs w:val="22"/>
        </w:rPr>
        <w:t>care treatments. Check out the</w:t>
      </w:r>
      <w:hyperlink r:id="rId7" w:history="1">
        <w:r w:rsidRPr="00CA438E">
          <w:rPr>
            <w:rFonts w:ascii="Franklin Gothic Book" w:eastAsia="Times New Roman" w:hAnsi="Franklin Gothic Book" w:cs="Times New Roman"/>
            <w:color w:val="000000"/>
            <w:sz w:val="22"/>
            <w:szCs w:val="22"/>
          </w:rPr>
          <w:t xml:space="preserve"> </w:t>
        </w:r>
        <w:r w:rsidRPr="00CA438E">
          <w:rPr>
            <w:rFonts w:ascii="Franklin Gothic Book" w:eastAsia="Times New Roman" w:hAnsi="Franklin Gothic Book" w:cs="Times New Roman"/>
            <w:color w:val="1155CC"/>
            <w:sz w:val="22"/>
            <w:szCs w:val="22"/>
            <w:u w:val="single"/>
          </w:rPr>
          <w:t xml:space="preserve">MHP </w:t>
        </w:r>
        <w:proofErr w:type="spellStart"/>
        <w:r w:rsidRPr="00CA438E">
          <w:rPr>
            <w:rFonts w:ascii="Franklin Gothic Book" w:eastAsia="Times New Roman" w:hAnsi="Franklin Gothic Book" w:cs="Times New Roman"/>
            <w:color w:val="1155CC"/>
            <w:sz w:val="22"/>
            <w:szCs w:val="22"/>
            <w:u w:val="single"/>
          </w:rPr>
          <w:t>Salud</w:t>
        </w:r>
        <w:proofErr w:type="spellEnd"/>
        <w:r w:rsidRPr="00CA438E">
          <w:rPr>
            <w:rFonts w:ascii="Franklin Gothic Book" w:eastAsia="Times New Roman" w:hAnsi="Franklin Gothic Book" w:cs="Times New Roman"/>
            <w:color w:val="1155CC"/>
            <w:sz w:val="22"/>
            <w:szCs w:val="22"/>
            <w:u w:val="single"/>
          </w:rPr>
          <w:t xml:space="preserve"> Brief Report</w:t>
        </w:r>
      </w:hyperlink>
      <w:r w:rsidRPr="00CA438E">
        <w:rPr>
          <w:rFonts w:ascii="Franklin Gothic Book" w:eastAsia="Times New Roman" w:hAnsi="Franklin Gothic Book" w:cs="Times New Roman"/>
          <w:color w:val="000000"/>
          <w:sz w:val="22"/>
          <w:szCs w:val="22"/>
        </w:rPr>
        <w:t xml:space="preserve"> </w:t>
      </w:r>
      <w:r w:rsidR="005F13F4">
        <w:rPr>
          <w:rFonts w:ascii="Franklin Gothic Book" w:eastAsia="Times New Roman" w:hAnsi="Franklin Gothic Book" w:cs="Times New Roman"/>
          <w:color w:val="000000"/>
          <w:sz w:val="22"/>
          <w:szCs w:val="22"/>
        </w:rPr>
        <w:t xml:space="preserve">on </w:t>
      </w:r>
      <w:r w:rsidRPr="00CA438E">
        <w:rPr>
          <w:rFonts w:ascii="Franklin Gothic Book" w:eastAsia="Times New Roman" w:hAnsi="Franklin Gothic Book" w:cs="Times New Roman"/>
          <w:color w:val="000000"/>
          <w:sz w:val="22"/>
          <w:szCs w:val="22"/>
        </w:rPr>
        <w:t>programs in Ohio and New Mexico that yielded such results.</w:t>
      </w:r>
    </w:p>
    <w:p w14:paraId="29B3DBF0" w14:textId="77777777" w:rsidR="00CA438E" w:rsidRDefault="00CA438E" w:rsidP="00CA438E">
      <w:pPr>
        <w:rPr>
          <w:rFonts w:ascii="Verdana" w:eastAsia="Times New Roman" w:hAnsi="Verdana" w:cs="Times New Roman"/>
          <w:color w:val="000000"/>
          <w:sz w:val="18"/>
          <w:szCs w:val="18"/>
        </w:rPr>
      </w:pPr>
    </w:p>
    <w:p w14:paraId="65D37A38" w14:textId="61C64C29" w:rsidR="00FA09ED" w:rsidRPr="00FA09ED" w:rsidRDefault="00D85835" w:rsidP="00F62026">
      <w:pPr>
        <w:spacing w:before="120"/>
        <w:rPr>
          <w:rFonts w:eastAsia="Times New Roman"/>
          <w:sz w:val="22"/>
          <w:szCs w:val="22"/>
        </w:rPr>
      </w:pPr>
      <w:r w:rsidRPr="00FA09ED">
        <w:rPr>
          <w:noProof/>
          <w:sz w:val="22"/>
          <w:szCs w:val="22"/>
        </w:rPr>
        <mc:AlternateContent>
          <mc:Choice Requires="wps">
            <w:drawing>
              <wp:anchor distT="0" distB="0" distL="114300" distR="114300" simplePos="0" relativeHeight="251665408" behindDoc="0" locked="0" layoutInCell="1" allowOverlap="1" wp14:anchorId="078D7DD4" wp14:editId="0951C193">
                <wp:simplePos x="0" y="0"/>
                <wp:positionH relativeFrom="column">
                  <wp:posOffset>-64770</wp:posOffset>
                </wp:positionH>
                <wp:positionV relativeFrom="paragraph">
                  <wp:posOffset>1512570</wp:posOffset>
                </wp:positionV>
                <wp:extent cx="7315200" cy="3822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315200" cy="382270"/>
                        </a:xfrm>
                        <a:prstGeom prst="rect">
                          <a:avLst/>
                        </a:prstGeom>
                        <a:solidFill>
                          <a:srgbClr val="27A5BE"/>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B413A1" w14:textId="77777777"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STRENGTHEN CARE TEAM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78D7DD4" id="Text Box 6" o:spid="_x0000_s1029" type="#_x0000_t202" style="position:absolute;margin-left:-5.1pt;margin-top:119.1pt;width:8in;height:30.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" fillcolor="#27a5be" stroked="f">
                <v:textbox>
                  <w:txbxContent>
                    <w:p w14:paraId="3DB413A1" w14:textId="77777777" w:rsidR="00CA438E" w:rsidRPr="00CA438E" w:rsidRDefault="00CA438E" w:rsidP="00CA438E">
                      <w:pPr>
                        <w:rPr>
                          <w:rFonts w:ascii="Franklin Gothic Book" w:hAnsi="Franklin Gothic Book"/>
                          <w:b/>
                          <w:color w:val="FFFFFF" w:themeColor="background1"/>
                          <w:sz w:val="32"/>
                          <w:szCs w:val="32"/>
                        </w:rPr>
                      </w:pPr>
                      <w:r>
                        <w:rPr>
                          <w:rFonts w:ascii="Franklin Gothic Book" w:hAnsi="Franklin Gothic Book"/>
                          <w:b/>
                          <w:color w:val="FFFFFF" w:themeColor="background1"/>
                          <w:sz w:val="32"/>
                          <w:szCs w:val="32"/>
                        </w:rPr>
                        <w:t>STRENGTHEN CARE TEAM WELL-BEING</w:t>
                      </w:r>
                    </w:p>
                  </w:txbxContent>
                </v:textbox>
                <w10:wrap type="square"/>
              </v:shape>
            </w:pict>
          </mc:Fallback>
        </mc:AlternateContent>
      </w:r>
      <w:r w:rsidR="00FA09ED" w:rsidRPr="00FA09ED">
        <w:rPr>
          <w:rFonts w:ascii="Franklin Gothic Book" w:eastAsia="Times New Roman" w:hAnsi="Franklin Gothic Book"/>
          <w:color w:val="000000"/>
          <w:sz w:val="22"/>
          <w:szCs w:val="22"/>
        </w:rPr>
        <w:t>Studies show that incorporating enabling services into health center practices can have significant return on investment (ROI)</w:t>
      </w:r>
      <w:r w:rsidR="00FA09ED" w:rsidRPr="00FA09ED">
        <w:rPr>
          <w:rFonts w:eastAsia="Times New Roman"/>
          <w:color w:val="000000"/>
          <w:sz w:val="22"/>
          <w:szCs w:val="22"/>
        </w:rPr>
        <w:t> </w:t>
      </w:r>
      <w:r w:rsidR="00FA09ED" w:rsidRPr="00FA09ED">
        <w:rPr>
          <w:rFonts w:ascii="Franklin Gothic Book" w:eastAsia="Times New Roman" w:hAnsi="Franklin Gothic Book"/>
          <w:color w:val="000000"/>
          <w:sz w:val="22"/>
          <w:szCs w:val="22"/>
        </w:rPr>
        <w:t>for the organization.</w:t>
      </w:r>
      <w:r w:rsidR="00FA09ED" w:rsidRPr="00FA09ED">
        <w:rPr>
          <w:rStyle w:val="xapple-converted-space"/>
          <w:rFonts w:ascii="Franklin Gothic Book" w:eastAsia="Times New Roman" w:hAnsi="Franklin Gothic Book"/>
          <w:color w:val="1F497D"/>
          <w:sz w:val="22"/>
          <w:szCs w:val="22"/>
        </w:rPr>
        <w:t> </w:t>
      </w:r>
      <w:r w:rsidR="00FA09ED" w:rsidRPr="00FA09ED">
        <w:rPr>
          <w:rFonts w:ascii="Franklin Gothic Book" w:eastAsia="Times New Roman" w:hAnsi="Franklin Gothic Book"/>
          <w:color w:val="000000"/>
          <w:sz w:val="22"/>
          <w:szCs w:val="22"/>
        </w:rPr>
        <w:t>For example, enrolling self-pay, uninsured patients into insurance coverage creates reimbursable visits that are beneficial to both the health center’s bottom line and its ability to care for its patients and expand its clinical and social programs. Enabling services also help reduce health disparities, cultural and linguistic barriers to care</w:t>
      </w:r>
      <w:r w:rsidR="007439BA">
        <w:rPr>
          <w:rFonts w:ascii="Franklin Gothic Book" w:eastAsia="Times New Roman" w:hAnsi="Franklin Gothic Book"/>
          <w:color w:val="000000"/>
          <w:sz w:val="22"/>
          <w:szCs w:val="22"/>
        </w:rPr>
        <w:t>, and</w:t>
      </w:r>
      <w:r w:rsidR="00FA09ED" w:rsidRPr="00FA09ED">
        <w:rPr>
          <w:rFonts w:ascii="Franklin Gothic Book" w:eastAsia="Times New Roman" w:hAnsi="Franklin Gothic Book"/>
          <w:color w:val="000000"/>
          <w:sz w:val="22"/>
          <w:szCs w:val="22"/>
        </w:rPr>
        <w:t xml:space="preserve"> overall costs to the health care system. For research on how community health centers have used enabling services to reduce costs and increase the timeliness of care, see</w:t>
      </w:r>
      <w:r w:rsidR="00FA09ED" w:rsidRPr="00FA09ED">
        <w:rPr>
          <w:rStyle w:val="xapple-converted-space"/>
          <w:rFonts w:ascii="Franklin Gothic Book" w:eastAsia="Times New Roman" w:hAnsi="Franklin Gothic Book"/>
          <w:color w:val="000000"/>
          <w:sz w:val="22"/>
          <w:szCs w:val="22"/>
        </w:rPr>
        <w:t> </w:t>
      </w:r>
      <w:hyperlink r:id="rId8" w:history="1">
        <w:r w:rsidR="00FA09ED" w:rsidRPr="007439BA">
          <w:rPr>
            <w:rStyle w:val="Hyperlink"/>
            <w:rFonts w:ascii="Franklin Gothic Book" w:eastAsia="Times New Roman" w:hAnsi="Franklin Gothic Book"/>
            <w:color w:val="0070C0"/>
            <w:sz w:val="22"/>
            <w:szCs w:val="22"/>
          </w:rPr>
          <w:t>this article from NCBI</w:t>
        </w:r>
      </w:hyperlink>
      <w:r w:rsidR="00FA09ED" w:rsidRPr="00FA09ED">
        <w:rPr>
          <w:rFonts w:ascii="Franklin Gothic Book" w:eastAsia="Times New Roman" w:hAnsi="Franklin Gothic Book"/>
          <w:color w:val="000000"/>
          <w:sz w:val="22"/>
          <w:szCs w:val="22"/>
        </w:rPr>
        <w:t xml:space="preserve">. </w:t>
      </w:r>
    </w:p>
    <w:p w14:paraId="3B33D314" w14:textId="080EF854" w:rsidR="00CA438E" w:rsidRPr="00CA438E" w:rsidRDefault="00CA438E" w:rsidP="00CA438E">
      <w:pPr>
        <w:spacing w:before="120"/>
        <w:rPr>
          <w:rFonts w:ascii="Franklin Gothic Book" w:eastAsia="Times New Roman" w:hAnsi="Franklin Gothic Book" w:cs="Times New Roman"/>
          <w:sz w:val="22"/>
          <w:szCs w:val="22"/>
        </w:rPr>
      </w:pPr>
      <w:r w:rsidRPr="00CA438E">
        <w:rPr>
          <w:rFonts w:ascii="Franklin Gothic Book" w:eastAsia="Times New Roman" w:hAnsi="Franklin Gothic Book" w:cs="Times New Roman"/>
          <w:color w:val="000000"/>
          <w:sz w:val="22"/>
          <w:szCs w:val="22"/>
        </w:rPr>
        <w:t>Enabling services play a role in creating Patient-Centered Medical Homes (PCMH</w:t>
      </w:r>
      <w:r w:rsidR="007439BA">
        <w:rPr>
          <w:rFonts w:ascii="Franklin Gothic Book" w:eastAsia="Times New Roman" w:hAnsi="Franklin Gothic Book" w:cs="Times New Roman"/>
          <w:color w:val="000000"/>
          <w:sz w:val="22"/>
          <w:szCs w:val="22"/>
        </w:rPr>
        <w:t>s</w:t>
      </w:r>
      <w:r w:rsidRPr="00CA438E">
        <w:rPr>
          <w:rFonts w:ascii="Franklin Gothic Book" w:eastAsia="Times New Roman" w:hAnsi="Franklin Gothic Book" w:cs="Times New Roman"/>
          <w:color w:val="000000"/>
          <w:sz w:val="22"/>
          <w:szCs w:val="22"/>
        </w:rPr>
        <w:t>), a paradigm which emphasizes the continuous patient-provider relationship, holistic and preventive care, and the integration of technology that assists in wrap-around services. PCMHs reduce health disparities for minorities, address social determinants of health, and offer non-clinical health services</w:t>
      </w:r>
      <w:r w:rsidR="007439BA">
        <w:rPr>
          <w:rFonts w:ascii="Franklin Gothic Book" w:eastAsia="Times New Roman" w:hAnsi="Franklin Gothic Book" w:cs="Times New Roman"/>
          <w:color w:val="000000"/>
          <w:sz w:val="22"/>
          <w:szCs w:val="22"/>
        </w:rPr>
        <w:t xml:space="preserve">. </w:t>
      </w:r>
      <w:r w:rsidRPr="00CA438E">
        <w:rPr>
          <w:rFonts w:ascii="Franklin Gothic Book" w:eastAsia="Times New Roman" w:hAnsi="Franklin Gothic Book" w:cs="Times New Roman"/>
          <w:color w:val="000000"/>
          <w:sz w:val="22"/>
          <w:szCs w:val="22"/>
        </w:rPr>
        <w:t>Enabling services play a large role in the latter, since PCMHs service the entirety of an individual’s health needs, including enrollment assistance, health education, case management, and more. Check out this fact sheet on</w:t>
      </w:r>
      <w:hyperlink r:id="rId9" w:history="1">
        <w:r w:rsidRPr="00CA438E">
          <w:rPr>
            <w:rFonts w:ascii="Franklin Gothic Book" w:eastAsia="Times New Roman" w:hAnsi="Franklin Gothic Book" w:cs="Times New Roman"/>
            <w:color w:val="000000"/>
            <w:sz w:val="22"/>
            <w:szCs w:val="22"/>
          </w:rPr>
          <w:t xml:space="preserve"> </w:t>
        </w:r>
        <w:r w:rsidRPr="00CA438E">
          <w:rPr>
            <w:rFonts w:ascii="Franklin Gothic Book" w:eastAsia="Times New Roman" w:hAnsi="Franklin Gothic Book" w:cs="Times New Roman"/>
            <w:color w:val="1155CC"/>
            <w:sz w:val="22"/>
            <w:szCs w:val="22"/>
            <w:u w:val="single"/>
          </w:rPr>
          <w:t>The Role of Enabling Services in PCMHs</w:t>
        </w:r>
      </w:hyperlink>
      <w:r w:rsidRPr="00CA438E">
        <w:rPr>
          <w:rFonts w:ascii="Franklin Gothic Book" w:eastAsia="Times New Roman" w:hAnsi="Franklin Gothic Book" w:cs="Times New Roman"/>
          <w:color w:val="000000"/>
          <w:sz w:val="22"/>
          <w:szCs w:val="22"/>
        </w:rPr>
        <w:t>.</w:t>
      </w:r>
    </w:p>
    <w:p w14:paraId="4E357A56" w14:textId="77777777" w:rsidR="00CA438E" w:rsidRDefault="00CA438E" w:rsidP="00CA438E">
      <w:pPr>
        <w:rPr>
          <w:rFonts w:ascii="Franklin Gothic Book" w:hAnsi="Franklin Gothic Book"/>
          <w:b/>
          <w:bCs/>
          <w:color w:val="000000"/>
          <w:sz w:val="20"/>
          <w:szCs w:val="20"/>
        </w:rPr>
      </w:pPr>
    </w:p>
    <w:p w14:paraId="74A30770" w14:textId="77777777" w:rsidR="00CA438E" w:rsidRDefault="00CA438E" w:rsidP="00CA438E">
      <w:pPr>
        <w:rPr>
          <w:rFonts w:ascii="Franklin Gothic Book" w:hAnsi="Franklin Gothic Book"/>
          <w:b/>
          <w:bCs/>
          <w:color w:val="000000"/>
          <w:sz w:val="20"/>
          <w:szCs w:val="20"/>
        </w:rPr>
      </w:pPr>
      <w:r>
        <w:rPr>
          <w:rFonts w:ascii="Franklin Gothic Book" w:hAnsi="Franklin Gothic Book"/>
          <w:b/>
          <w:bCs/>
          <w:color w:val="000000"/>
          <w:sz w:val="20"/>
          <w:szCs w:val="20"/>
        </w:rPr>
        <w:t>Additional Resources:</w:t>
      </w:r>
    </w:p>
    <w:p w14:paraId="2D61377E" w14:textId="77777777" w:rsidR="00CA438E" w:rsidRDefault="00345A21" w:rsidP="00CA438E">
      <w:pPr>
        <w:rPr>
          <w:rFonts w:eastAsia="Times New Roman"/>
        </w:rPr>
      </w:pPr>
      <w:r>
        <w:rPr>
          <w:rFonts w:eastAsia="Times New Roman"/>
        </w:rPr>
        <w:pict w14:anchorId="3B85A44A">
          <v:rect id="_x0000_i1025" style="width:0;height:1.5pt" o:hralign="center" o:hrstd="t" o:hr="t" fillcolor="#f0f0f0" stroked="f"/>
        </w:pict>
      </w:r>
    </w:p>
    <w:p w14:paraId="059AB485" w14:textId="77777777" w:rsidR="00CA438E" w:rsidRDefault="00345A21" w:rsidP="00CA438E">
      <w:pPr>
        <w:pStyle w:val="NormalWeb"/>
        <w:spacing w:before="0" w:beforeAutospacing="0" w:after="0" w:afterAutospacing="0"/>
      </w:pPr>
      <w:hyperlink r:id="rId10" w:history="1">
        <w:r w:rsidR="00CA438E">
          <w:rPr>
            <w:rStyle w:val="Hyperlink"/>
            <w:rFonts w:ascii="Arial" w:hAnsi="Arial" w:cs="Arial"/>
            <w:color w:val="1155CC"/>
            <w:sz w:val="18"/>
            <w:szCs w:val="18"/>
          </w:rPr>
          <w:t>NCBI: Use of Enabling Services by Asian American, Native Hawaiian, and Other Pacific Islander Patients at 4 Community Health Centers</w:t>
        </w:r>
      </w:hyperlink>
    </w:p>
    <w:p w14:paraId="1B0BFA55" w14:textId="77777777" w:rsidR="00CA438E" w:rsidRDefault="00345A21" w:rsidP="00CA438E">
      <w:pPr>
        <w:pStyle w:val="NormalWeb"/>
        <w:spacing w:before="0" w:beforeAutospacing="0" w:after="0" w:afterAutospacing="0"/>
      </w:pPr>
      <w:hyperlink r:id="rId11" w:history="1">
        <w:r w:rsidR="00CA438E">
          <w:rPr>
            <w:rStyle w:val="Hyperlink"/>
            <w:rFonts w:ascii="Arial" w:hAnsi="Arial" w:cs="Arial"/>
            <w:color w:val="1155CC"/>
            <w:sz w:val="18"/>
            <w:szCs w:val="18"/>
          </w:rPr>
          <w:t>AAPCHO: Impact-of-Enabling-Services-Utilization-on-Health-Outcomes</w:t>
        </w:r>
      </w:hyperlink>
    </w:p>
    <w:p w14:paraId="59FA13CE" w14:textId="77777777" w:rsidR="00164E8D" w:rsidRDefault="00345A21" w:rsidP="00164E8D">
      <w:pPr>
        <w:rPr>
          <w:rFonts w:eastAsia="Times New Roman"/>
        </w:rPr>
      </w:pPr>
      <w:hyperlink r:id="rId12" w:history="1">
        <w:r w:rsidR="00164E8D">
          <w:rPr>
            <w:rStyle w:val="Hyperlink"/>
            <w:rFonts w:ascii="Arial" w:eastAsia="Times New Roman" w:hAnsi="Arial" w:cs="Arial"/>
            <w:color w:val="1155CC"/>
            <w:sz w:val="18"/>
            <w:szCs w:val="18"/>
          </w:rPr>
          <w:t>AAPCHO: Toolkit-ES_Data_Collection_Implementation_Packet_2005</w:t>
        </w:r>
      </w:hyperlink>
    </w:p>
    <w:p w14:paraId="53EBAEFD" w14:textId="77777777" w:rsidR="001E070F" w:rsidRDefault="001E070F"/>
    <w:p w14:paraId="13A5018B" w14:textId="77777777" w:rsidR="00AF12D2" w:rsidRDefault="00AF12D2" w:rsidP="00CA438E">
      <w:pPr>
        <w:rPr>
          <w:rFonts w:ascii="Franklin Gothic Book" w:hAnsi="Franklin Gothic Book" w:cs="Times New Roman"/>
          <w:b/>
          <w:bCs/>
          <w:color w:val="000000"/>
          <w:sz w:val="20"/>
          <w:szCs w:val="20"/>
        </w:rPr>
        <w:sectPr w:rsidR="00AF12D2" w:rsidSect="00CA438E">
          <w:type w:val="continuous"/>
          <w:pgSz w:w="12240" w:h="15840"/>
          <w:pgMar w:top="360" w:right="360" w:bottom="360" w:left="360" w:header="720" w:footer="720" w:gutter="0"/>
          <w:cols w:space="720"/>
          <w:formProt w:val="0"/>
          <w:docGrid w:linePitch="360"/>
        </w:sectPr>
      </w:pPr>
    </w:p>
    <w:p w14:paraId="3C38FEF9" w14:textId="77777777" w:rsidR="00CA438E" w:rsidRPr="00CA438E" w:rsidRDefault="00CA438E" w:rsidP="00CA438E">
      <w:pPr>
        <w:rPr>
          <w:rFonts w:ascii="Franklin Gothic Book" w:hAnsi="Franklin Gothic Book" w:cs="Times New Roman"/>
        </w:rPr>
      </w:pPr>
      <w:r w:rsidRPr="00CA438E">
        <w:rPr>
          <w:rFonts w:ascii="Franklin Gothic Book" w:hAnsi="Franklin Gothic Book" w:cs="Times New Roman"/>
          <w:b/>
          <w:bCs/>
          <w:color w:val="000000"/>
          <w:sz w:val="20"/>
          <w:szCs w:val="20"/>
        </w:rPr>
        <w:t>Acknowledgement/Disclaimer</w:t>
      </w:r>
    </w:p>
    <w:p w14:paraId="719A6940" w14:textId="6FBE71D2" w:rsidR="00CA438E" w:rsidRPr="00CA438E" w:rsidRDefault="00CA438E" w:rsidP="00CA438E">
      <w:pPr>
        <w:jc w:val="both"/>
        <w:rPr>
          <w:rFonts w:ascii="Franklin Gothic Book" w:hAnsi="Franklin Gothic Book" w:cs="Times New Roman"/>
        </w:rPr>
      </w:pPr>
      <w:r w:rsidRPr="00CA438E">
        <w:rPr>
          <w:rFonts w:ascii="Franklin Gothic Book" w:hAnsi="Franklin Gothic Book" w:cs="Times New Roman"/>
          <w:color w:val="000000"/>
          <w:sz w:val="16"/>
          <w:szCs w:val="16"/>
        </w:rPr>
        <w:t xml:space="preserve">The information provided in this document is designed to provide helpful information regarding health center enabling services. This document is the outcome of an outreach and enabling </w:t>
      </w:r>
      <w:r w:rsidR="005F13F4">
        <w:rPr>
          <w:rFonts w:ascii="Franklin Gothic Book" w:hAnsi="Franklin Gothic Book" w:cs="Times New Roman"/>
          <w:color w:val="000000"/>
          <w:sz w:val="16"/>
          <w:szCs w:val="16"/>
        </w:rPr>
        <w:t xml:space="preserve">services </w:t>
      </w:r>
      <w:r w:rsidRPr="00CA438E">
        <w:rPr>
          <w:rFonts w:ascii="Franklin Gothic Book" w:hAnsi="Franklin Gothic Book" w:cs="Times New Roman"/>
          <w:color w:val="000000"/>
          <w:sz w:val="16"/>
          <w:szCs w:val="16"/>
        </w:rPr>
        <w:t>project in collaboration with Community Health</w:t>
      </w:r>
      <w:r w:rsidR="00F62026">
        <w:rPr>
          <w:rFonts w:ascii="Franklin Gothic Book" w:hAnsi="Franklin Gothic Book" w:cs="Times New Roman"/>
          <w:color w:val="000000"/>
          <w:sz w:val="16"/>
          <w:szCs w:val="16"/>
        </w:rPr>
        <w:t>Care</w:t>
      </w:r>
      <w:r w:rsidRPr="00CA438E">
        <w:rPr>
          <w:rFonts w:ascii="Franklin Gothic Book" w:hAnsi="Franklin Gothic Book" w:cs="Times New Roman"/>
          <w:color w:val="000000"/>
          <w:sz w:val="16"/>
          <w:szCs w:val="16"/>
        </w:rPr>
        <w:t xml:space="preserve"> A</w:t>
      </w:r>
      <w:r>
        <w:rPr>
          <w:rFonts w:ascii="Franklin Gothic Book" w:hAnsi="Franklin Gothic Book" w:cs="Times New Roman"/>
          <w:color w:val="000000"/>
          <w:sz w:val="16"/>
          <w:szCs w:val="16"/>
        </w:rPr>
        <w:t>ssociation of the Dakotas</w:t>
      </w:r>
      <w:r w:rsidRPr="00CA438E">
        <w:rPr>
          <w:rFonts w:ascii="Franklin Gothic Book" w:hAnsi="Franklin Gothic Book" w:cs="Times New Roman"/>
          <w:color w:val="000000"/>
          <w:sz w:val="16"/>
          <w:szCs w:val="16"/>
        </w:rPr>
        <w:t xml:space="preserve">, Community Health Association of </w:t>
      </w:r>
      <w:r>
        <w:rPr>
          <w:rFonts w:ascii="Franklin Gothic Book" w:hAnsi="Franklin Gothic Book" w:cs="Times New Roman"/>
          <w:color w:val="000000"/>
          <w:sz w:val="16"/>
          <w:szCs w:val="16"/>
        </w:rPr>
        <w:t>Mountain/Plains States</w:t>
      </w:r>
      <w:r w:rsidRPr="00CA438E">
        <w:rPr>
          <w:rFonts w:ascii="Franklin Gothic Book" w:hAnsi="Franklin Gothic Book" w:cs="Times New Roman"/>
          <w:color w:val="000000"/>
          <w:sz w:val="16"/>
          <w:szCs w:val="16"/>
        </w:rPr>
        <w:t>, Health Center Asso</w:t>
      </w:r>
      <w:r w:rsidR="007439BA">
        <w:rPr>
          <w:rFonts w:ascii="Franklin Gothic Book" w:hAnsi="Franklin Gothic Book" w:cs="Times New Roman"/>
          <w:color w:val="000000"/>
          <w:sz w:val="16"/>
          <w:szCs w:val="16"/>
        </w:rPr>
        <w:t xml:space="preserve">ciation of Nebraska, </w:t>
      </w:r>
      <w:r w:rsidRPr="00CA438E">
        <w:rPr>
          <w:rFonts w:ascii="Franklin Gothic Book" w:hAnsi="Franklin Gothic Book" w:cs="Times New Roman"/>
          <w:color w:val="000000"/>
          <w:sz w:val="16"/>
          <w:szCs w:val="16"/>
        </w:rPr>
        <w:t xml:space="preserve">National Association of </w:t>
      </w:r>
      <w:r>
        <w:rPr>
          <w:rFonts w:ascii="Franklin Gothic Book" w:hAnsi="Franklin Gothic Book" w:cs="Times New Roman"/>
          <w:color w:val="000000"/>
          <w:sz w:val="16"/>
          <w:szCs w:val="16"/>
        </w:rPr>
        <w:t>Community Health Centers</w:t>
      </w:r>
      <w:r w:rsidRPr="00CA438E">
        <w:rPr>
          <w:rFonts w:ascii="Franklin Gothic Book" w:hAnsi="Franklin Gothic Book" w:cs="Times New Roman"/>
          <w:color w:val="000000"/>
          <w:sz w:val="16"/>
          <w:szCs w:val="16"/>
        </w:rPr>
        <w:t>, and based on input from various Primary Care Associations. Examples listed may have been customized by the author(s) other than the originators, and do not necessarily reflect the views of the organizations involved in the collaboration.  </w:t>
      </w:r>
    </w:p>
    <w:sectPr w:rsidR="00CA438E" w:rsidRPr="00CA438E" w:rsidSect="00CA438E">
      <w:type w:val="continuous"/>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70F"/>
    <w:rsid w:val="000C14B6"/>
    <w:rsid w:val="00164E8D"/>
    <w:rsid w:val="001656A6"/>
    <w:rsid w:val="001A3628"/>
    <w:rsid w:val="001E070F"/>
    <w:rsid w:val="001F1150"/>
    <w:rsid w:val="00225BDB"/>
    <w:rsid w:val="00345A21"/>
    <w:rsid w:val="004E4C57"/>
    <w:rsid w:val="005F13F4"/>
    <w:rsid w:val="0068139F"/>
    <w:rsid w:val="007439BA"/>
    <w:rsid w:val="0078256B"/>
    <w:rsid w:val="0081740C"/>
    <w:rsid w:val="008D628A"/>
    <w:rsid w:val="009605FE"/>
    <w:rsid w:val="009A68C4"/>
    <w:rsid w:val="009D385D"/>
    <w:rsid w:val="00A7150D"/>
    <w:rsid w:val="00AB47B1"/>
    <w:rsid w:val="00AF12D2"/>
    <w:rsid w:val="00BB17AE"/>
    <w:rsid w:val="00CA438E"/>
    <w:rsid w:val="00D35797"/>
    <w:rsid w:val="00D85835"/>
    <w:rsid w:val="00ED3382"/>
    <w:rsid w:val="00F62026"/>
    <w:rsid w:val="00FA0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0459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438E"/>
    <w:rPr>
      <w:color w:val="0000FF"/>
      <w:u w:val="single"/>
    </w:rPr>
  </w:style>
  <w:style w:type="paragraph" w:styleId="NormalWeb">
    <w:name w:val="Normal (Web)"/>
    <w:basedOn w:val="Normal"/>
    <w:uiPriority w:val="99"/>
    <w:unhideWhenUsed/>
    <w:rsid w:val="00CA438E"/>
    <w:pPr>
      <w:spacing w:before="100" w:beforeAutospacing="1" w:after="100" w:afterAutospacing="1"/>
    </w:pPr>
    <w:rPr>
      <w:rFonts w:ascii="Times New Roman" w:hAnsi="Times New Roman" w:cs="Times New Roman"/>
    </w:rPr>
  </w:style>
  <w:style w:type="character" w:customStyle="1" w:styleId="xapple-converted-space">
    <w:name w:val="xapple-converted-space"/>
    <w:basedOn w:val="DefaultParagraphFont"/>
    <w:rsid w:val="00FA09ED"/>
  </w:style>
  <w:style w:type="character" w:styleId="FollowedHyperlink">
    <w:name w:val="FollowedHyperlink"/>
    <w:basedOn w:val="DefaultParagraphFont"/>
    <w:uiPriority w:val="99"/>
    <w:semiHidden/>
    <w:unhideWhenUsed/>
    <w:rsid w:val="00FA09ED"/>
    <w:rPr>
      <w:color w:val="954F72" w:themeColor="followedHyperlink"/>
      <w:u w:val="single"/>
    </w:rPr>
  </w:style>
  <w:style w:type="paragraph" w:styleId="BalloonText">
    <w:name w:val="Balloon Text"/>
    <w:basedOn w:val="Normal"/>
    <w:link w:val="BalloonTextChar"/>
    <w:uiPriority w:val="99"/>
    <w:semiHidden/>
    <w:unhideWhenUsed/>
    <w:rsid w:val="00345A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47792">
      <w:bodyDiv w:val="1"/>
      <w:marLeft w:val="0"/>
      <w:marRight w:val="0"/>
      <w:marTop w:val="0"/>
      <w:marBottom w:val="0"/>
      <w:divBdr>
        <w:top w:val="none" w:sz="0" w:space="0" w:color="auto"/>
        <w:left w:val="none" w:sz="0" w:space="0" w:color="auto"/>
        <w:bottom w:val="none" w:sz="0" w:space="0" w:color="auto"/>
        <w:right w:val="none" w:sz="0" w:space="0" w:color="auto"/>
      </w:divBdr>
    </w:div>
    <w:div w:id="882136669">
      <w:bodyDiv w:val="1"/>
      <w:marLeft w:val="0"/>
      <w:marRight w:val="0"/>
      <w:marTop w:val="0"/>
      <w:marBottom w:val="0"/>
      <w:divBdr>
        <w:top w:val="none" w:sz="0" w:space="0" w:color="auto"/>
        <w:left w:val="none" w:sz="0" w:space="0" w:color="auto"/>
        <w:bottom w:val="none" w:sz="0" w:space="0" w:color="auto"/>
        <w:right w:val="none" w:sz="0" w:space="0" w:color="auto"/>
      </w:divBdr>
    </w:div>
    <w:div w:id="990711685">
      <w:bodyDiv w:val="1"/>
      <w:marLeft w:val="0"/>
      <w:marRight w:val="0"/>
      <w:marTop w:val="0"/>
      <w:marBottom w:val="0"/>
      <w:divBdr>
        <w:top w:val="none" w:sz="0" w:space="0" w:color="auto"/>
        <w:left w:val="none" w:sz="0" w:space="0" w:color="auto"/>
        <w:bottom w:val="none" w:sz="0" w:space="0" w:color="auto"/>
        <w:right w:val="none" w:sz="0" w:space="0" w:color="auto"/>
      </w:divBdr>
    </w:div>
    <w:div w:id="1196118089">
      <w:bodyDiv w:val="1"/>
      <w:marLeft w:val="0"/>
      <w:marRight w:val="0"/>
      <w:marTop w:val="0"/>
      <w:marBottom w:val="0"/>
      <w:divBdr>
        <w:top w:val="none" w:sz="0" w:space="0" w:color="auto"/>
        <w:left w:val="none" w:sz="0" w:space="0" w:color="auto"/>
        <w:bottom w:val="none" w:sz="0" w:space="0" w:color="auto"/>
        <w:right w:val="none" w:sz="0" w:space="0" w:color="auto"/>
      </w:divBdr>
    </w:div>
    <w:div w:id="1328480548">
      <w:bodyDiv w:val="1"/>
      <w:marLeft w:val="0"/>
      <w:marRight w:val="0"/>
      <w:marTop w:val="0"/>
      <w:marBottom w:val="0"/>
      <w:divBdr>
        <w:top w:val="none" w:sz="0" w:space="0" w:color="auto"/>
        <w:left w:val="none" w:sz="0" w:space="0" w:color="auto"/>
        <w:bottom w:val="none" w:sz="0" w:space="0" w:color="auto"/>
        <w:right w:val="none" w:sz="0" w:space="0" w:color="auto"/>
      </w:divBdr>
    </w:div>
    <w:div w:id="1413087404">
      <w:bodyDiv w:val="1"/>
      <w:marLeft w:val="0"/>
      <w:marRight w:val="0"/>
      <w:marTop w:val="0"/>
      <w:marBottom w:val="0"/>
      <w:divBdr>
        <w:top w:val="none" w:sz="0" w:space="0" w:color="auto"/>
        <w:left w:val="none" w:sz="0" w:space="0" w:color="auto"/>
        <w:bottom w:val="none" w:sz="0" w:space="0" w:color="auto"/>
        <w:right w:val="none" w:sz="0" w:space="0" w:color="auto"/>
      </w:divBdr>
    </w:div>
    <w:div w:id="1530683639">
      <w:bodyDiv w:val="1"/>
      <w:marLeft w:val="0"/>
      <w:marRight w:val="0"/>
      <w:marTop w:val="0"/>
      <w:marBottom w:val="0"/>
      <w:divBdr>
        <w:top w:val="none" w:sz="0" w:space="0" w:color="auto"/>
        <w:left w:val="none" w:sz="0" w:space="0" w:color="auto"/>
        <w:bottom w:val="none" w:sz="0" w:space="0" w:color="auto"/>
        <w:right w:val="none" w:sz="0" w:space="0" w:color="auto"/>
      </w:divBdr>
    </w:div>
    <w:div w:id="1556576415">
      <w:bodyDiv w:val="1"/>
      <w:marLeft w:val="0"/>
      <w:marRight w:val="0"/>
      <w:marTop w:val="0"/>
      <w:marBottom w:val="0"/>
      <w:divBdr>
        <w:top w:val="none" w:sz="0" w:space="0" w:color="auto"/>
        <w:left w:val="none" w:sz="0" w:space="0" w:color="auto"/>
        <w:bottom w:val="none" w:sz="0" w:space="0" w:color="auto"/>
        <w:right w:val="none" w:sz="0" w:space="0" w:color="auto"/>
      </w:divBdr>
    </w:div>
    <w:div w:id="1655138015">
      <w:bodyDiv w:val="1"/>
      <w:marLeft w:val="0"/>
      <w:marRight w:val="0"/>
      <w:marTop w:val="0"/>
      <w:marBottom w:val="0"/>
      <w:divBdr>
        <w:top w:val="none" w:sz="0" w:space="0" w:color="auto"/>
        <w:left w:val="none" w:sz="0" w:space="0" w:color="auto"/>
        <w:bottom w:val="none" w:sz="0" w:space="0" w:color="auto"/>
        <w:right w:val="none" w:sz="0" w:space="0" w:color="auto"/>
      </w:divBdr>
    </w:div>
    <w:div w:id="1771927692">
      <w:bodyDiv w:val="1"/>
      <w:marLeft w:val="0"/>
      <w:marRight w:val="0"/>
      <w:marTop w:val="0"/>
      <w:marBottom w:val="0"/>
      <w:divBdr>
        <w:top w:val="none" w:sz="0" w:space="0" w:color="auto"/>
        <w:left w:val="none" w:sz="0" w:space="0" w:color="auto"/>
        <w:bottom w:val="none" w:sz="0" w:space="0" w:color="auto"/>
        <w:right w:val="none" w:sz="0" w:space="0" w:color="auto"/>
      </w:divBdr>
    </w:div>
    <w:div w:id="1963463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2951973/"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2ow7t71bjuyu4dst8o28010f.wpengine.netdna-cdn.com/wp-content/uploads/2012/10/Full-Brief-Report-Use-of-Return-on-Investment-Analysis-with-CHW-Programs.pdf" TargetMode="External"/><Relationship Id="rId12" Type="http://schemas.openxmlformats.org/officeDocument/2006/relationships/hyperlink" Target="http://www.aapcho.org/wp/wp-content/uploads/2012/01/AAPCHO_Toolkit-ES_Data_Collection_Implementation_Packet_2005.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achc.org/health-center-issues/outreach-and-enrollment/information-and-resources/" TargetMode="External"/><Relationship Id="rId11" Type="http://schemas.openxmlformats.org/officeDocument/2006/relationships/hyperlink" Target="http://www.aapcho.org/wp/wp-content/uploads/2012/03/Impact-of-Enabling-Services-Utilization-on-Health-Outcomes.pdf" TargetMode="External"/><Relationship Id="rId5" Type="http://schemas.openxmlformats.org/officeDocument/2006/relationships/image" Target="media/image2.jpg"/><Relationship Id="rId10" Type="http://schemas.openxmlformats.org/officeDocument/2006/relationships/hyperlink" Target="https://www.ncbi.nlm.nih.gov/pmc/articles/PMC2951973/" TargetMode="External"/><Relationship Id="rId4" Type="http://schemas.openxmlformats.org/officeDocument/2006/relationships/image" Target="media/image1.jpg"/><Relationship Id="rId9" Type="http://schemas.openxmlformats.org/officeDocument/2006/relationships/hyperlink" Target="http://www.aapcho.org/wp/wp-content/uploads/2012/01/AAPCHO_FactSheet-Role_of_ES_in_PCMHs_Nov2010.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Helen Vernier</cp:lastModifiedBy>
  <cp:revision>2</cp:revision>
  <cp:lastPrinted>2018-10-18T20:22:00Z</cp:lastPrinted>
  <dcterms:created xsi:type="dcterms:W3CDTF">2018-10-18T20:25:00Z</dcterms:created>
  <dcterms:modified xsi:type="dcterms:W3CDTF">2018-10-18T20:25:00Z</dcterms:modified>
</cp:coreProperties>
</file>