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EAF" w:rsidRDefault="00CA5EAF" w:rsidP="00262854">
      <w:pPr>
        <w:spacing w:after="0" w:line="240" w:lineRule="auto"/>
        <w:rPr>
          <w:b/>
        </w:rPr>
      </w:pPr>
      <w:bookmarkStart w:id="0" w:name="_GoBack"/>
      <w:bookmarkEnd w:id="0"/>
    </w:p>
    <w:p w:rsidR="00CA5EAF" w:rsidRPr="005C3BD5" w:rsidRDefault="001C4C9B" w:rsidP="00262854">
      <w:pPr>
        <w:spacing w:after="0" w:line="240" w:lineRule="auto"/>
        <w:rPr>
          <w:b/>
        </w:rPr>
      </w:pPr>
      <w:r>
        <w:rPr>
          <w:b/>
        </w:rPr>
        <w:t>EHR Incentive Programs: Clinical Quality Measures in 2014</w:t>
      </w:r>
      <w:r w:rsidR="00CA5EAF">
        <w:rPr>
          <w:b/>
        </w:rPr>
        <w:t xml:space="preserve"> </w:t>
      </w:r>
    </w:p>
    <w:p w:rsidR="00077F8D" w:rsidRDefault="005C3BD5" w:rsidP="005C3BD5">
      <w:pPr>
        <w:spacing w:after="0" w:line="240" w:lineRule="auto"/>
        <w:rPr>
          <w:iCs/>
          <w:color w:val="000000"/>
        </w:rPr>
      </w:pPr>
      <w:r>
        <w:rPr>
          <w:iCs/>
          <w:color w:val="000000"/>
        </w:rPr>
        <w:t>T</w:t>
      </w:r>
      <w:r w:rsidR="00A24C30" w:rsidRPr="005C3BD5">
        <w:rPr>
          <w:iCs/>
          <w:color w:val="000000"/>
        </w:rPr>
        <w:t xml:space="preserve">he Centers for Medicare &amp; Medicaid Services (CMS) </w:t>
      </w:r>
      <w:r>
        <w:rPr>
          <w:iCs/>
          <w:color w:val="000000"/>
        </w:rPr>
        <w:t xml:space="preserve">recently </w:t>
      </w:r>
      <w:r w:rsidR="00A24C30" w:rsidRPr="005C3BD5">
        <w:rPr>
          <w:iCs/>
          <w:color w:val="000000"/>
        </w:rPr>
        <w:t>published the final rule for Stage 2 of the Medicare and Medicaid Electronic Health Record (EHR) Incentive Programs. The rule provides new criteria that eligible professionals (EPs), eligible hospitals, and critical access hospitals (CAHs) must meet to successfully participate in the EHR Incentive Programs</w:t>
      </w:r>
      <w:r>
        <w:rPr>
          <w:iCs/>
          <w:color w:val="000000"/>
        </w:rPr>
        <w:t>, including updates to the clinical quality measure (CQM) requirements</w:t>
      </w:r>
      <w:r w:rsidR="00A24C30" w:rsidRPr="005C3BD5">
        <w:rPr>
          <w:iCs/>
          <w:color w:val="000000"/>
        </w:rPr>
        <w:t>.</w:t>
      </w:r>
    </w:p>
    <w:p w:rsidR="005C3BD5" w:rsidRPr="005C3BD5" w:rsidRDefault="005C3BD5" w:rsidP="005C3BD5">
      <w:pPr>
        <w:spacing w:after="0" w:line="240" w:lineRule="auto"/>
        <w:rPr>
          <w:rFonts w:ascii="Times New Roman" w:hAnsi="Times New Roman" w:cs="Times New Roman"/>
          <w:sz w:val="24"/>
          <w:szCs w:val="24"/>
        </w:rPr>
      </w:pPr>
    </w:p>
    <w:p w:rsidR="004A5DF2" w:rsidRDefault="007063AB" w:rsidP="005C3BD5">
      <w:pPr>
        <w:spacing w:after="0" w:line="240" w:lineRule="auto"/>
      </w:pPr>
      <w:r>
        <w:t xml:space="preserve">The final rule establishes that beginning in 2014, the reporting of </w:t>
      </w:r>
      <w:r w:rsidR="005C3BD5">
        <w:t>CQMs</w:t>
      </w:r>
      <w:r w:rsidR="00CA6C3C">
        <w:t xml:space="preserve"> will change for </w:t>
      </w:r>
      <w:r w:rsidR="00CA6C3C" w:rsidRPr="00582ED3">
        <w:rPr>
          <w:u w:val="single"/>
        </w:rPr>
        <w:t>all</w:t>
      </w:r>
      <w:r w:rsidR="00CA6C3C">
        <w:t xml:space="preserve"> providers</w:t>
      </w:r>
      <w:r w:rsidR="000D6864">
        <w:t>, regardless of whether they are participating in Stage 1 or Stage 2</w:t>
      </w:r>
      <w:r w:rsidR="00CA6C3C">
        <w:t xml:space="preserve">. </w:t>
      </w:r>
      <w:r>
        <w:t>EHR technology certified to the 2014 standards and capabilities will contain new CQM criteria</w:t>
      </w:r>
      <w:r w:rsidR="004A5DF2">
        <w:t>.</w:t>
      </w:r>
      <w:r>
        <w:t xml:space="preserve"> </w:t>
      </w:r>
    </w:p>
    <w:p w:rsidR="004A5DF2" w:rsidRDefault="004A5DF2" w:rsidP="005C3BD5">
      <w:pPr>
        <w:spacing w:after="0" w:line="240" w:lineRule="auto"/>
      </w:pPr>
    </w:p>
    <w:p w:rsidR="007063AB" w:rsidRDefault="004A5DF2" w:rsidP="005C3BD5">
      <w:pPr>
        <w:spacing w:after="0" w:line="240" w:lineRule="auto"/>
      </w:pPr>
      <w:r>
        <w:t>In 2014</w:t>
      </w:r>
      <w:r w:rsidR="0008384B">
        <w:t>,</w:t>
      </w:r>
      <w:r>
        <w:t xml:space="preserve"> </w:t>
      </w:r>
      <w:r w:rsidR="007063AB">
        <w:t xml:space="preserve">EPs, eligible hospitals, and </w:t>
      </w:r>
      <w:r w:rsidR="00F063D7">
        <w:t>CAHs</w:t>
      </w:r>
      <w:r w:rsidR="007063AB">
        <w:t xml:space="preserve"> </w:t>
      </w:r>
      <w:r>
        <w:t xml:space="preserve">in both Stage 1 and Stage 2 of the </w:t>
      </w:r>
      <w:r w:rsidR="0008384B">
        <w:t>EHR I</w:t>
      </w:r>
      <w:r>
        <w:t xml:space="preserve">ncentive </w:t>
      </w:r>
      <w:r w:rsidR="0008384B">
        <w:t>P</w:t>
      </w:r>
      <w:r>
        <w:t xml:space="preserve">rograms </w:t>
      </w:r>
      <w:r w:rsidR="00BA60D0">
        <w:t xml:space="preserve">must </w:t>
      </w:r>
      <w:r>
        <w:t>use</w:t>
      </w:r>
      <w:r w:rsidR="007063AB">
        <w:t xml:space="preserve"> </w:t>
      </w:r>
      <w:r>
        <w:t xml:space="preserve">the new </w:t>
      </w:r>
      <w:r w:rsidR="00CA6C3C">
        <w:t xml:space="preserve">criteria. </w:t>
      </w:r>
      <w:r w:rsidR="005C3BD5">
        <w:t>R</w:t>
      </w:r>
      <w:r w:rsidR="007063AB" w:rsidRPr="00847613">
        <w:t>eport</w:t>
      </w:r>
      <w:r w:rsidR="005C3BD5">
        <w:t>ing</w:t>
      </w:r>
      <w:r w:rsidR="007063AB" w:rsidRPr="00847613">
        <w:t xml:space="preserve"> on CQMs to demonstrate meaningful use</w:t>
      </w:r>
      <w:r w:rsidR="005C3BD5">
        <w:t xml:space="preserve"> is still a requirement</w:t>
      </w:r>
      <w:r w:rsidR="00655F6F">
        <w:t xml:space="preserve">, even though CQM reporting </w:t>
      </w:r>
      <w:r w:rsidR="0008384B">
        <w:t>was removed</w:t>
      </w:r>
      <w:r w:rsidR="00655F6F">
        <w:t xml:space="preserve"> as a core objective</w:t>
      </w:r>
      <w:r w:rsidR="007063AB" w:rsidRPr="00847613">
        <w:t>.</w:t>
      </w:r>
    </w:p>
    <w:p w:rsidR="001A0441" w:rsidRDefault="001A0441" w:rsidP="005C3BD5">
      <w:pPr>
        <w:spacing w:after="0" w:line="240" w:lineRule="auto"/>
      </w:pPr>
    </w:p>
    <w:p w:rsidR="001A0441" w:rsidRDefault="005C3BD5" w:rsidP="005C3BD5">
      <w:pPr>
        <w:spacing w:after="0" w:line="240" w:lineRule="auto"/>
      </w:pPr>
      <w:r>
        <w:t>The</w:t>
      </w:r>
      <w:r w:rsidR="001A0441">
        <w:t xml:space="preserve"> table </w:t>
      </w:r>
      <w:r>
        <w:t xml:space="preserve">below further outlines </w:t>
      </w:r>
      <w:r w:rsidR="001A0441">
        <w:t>the CQM changes in the Stage 2 Final Rule:</w:t>
      </w:r>
    </w:p>
    <w:p w:rsidR="002B25A5" w:rsidRDefault="002B25A5" w:rsidP="00262854">
      <w:pPr>
        <w:spacing w:after="0" w:line="240" w:lineRule="auto"/>
        <w:rPr>
          <w:rFonts w:ascii="Calibri" w:eastAsia="Calibri" w:hAnsi="Calibri" w:cs="Calibri"/>
        </w:rPr>
      </w:pPr>
    </w:p>
    <w:tbl>
      <w:tblPr>
        <w:tblW w:w="9054" w:type="dxa"/>
        <w:tblCellMar>
          <w:left w:w="0" w:type="dxa"/>
          <w:right w:w="0" w:type="dxa"/>
        </w:tblCellMar>
        <w:tblLook w:val="0420" w:firstRow="1" w:lastRow="0" w:firstColumn="0" w:lastColumn="0" w:noHBand="0" w:noVBand="1"/>
      </w:tblPr>
      <w:tblGrid>
        <w:gridCol w:w="1134"/>
        <w:gridCol w:w="3060"/>
        <w:gridCol w:w="4860"/>
      </w:tblGrid>
      <w:tr w:rsidR="002B25A5" w:rsidRPr="002B25A5" w:rsidTr="00CA5EAF">
        <w:trPr>
          <w:trHeight w:val="327"/>
        </w:trPr>
        <w:tc>
          <w:tcPr>
            <w:tcW w:w="1134" w:type="dxa"/>
            <w:tcBorders>
              <w:top w:val="single" w:sz="8" w:space="0" w:color="000000"/>
              <w:left w:val="single" w:sz="8" w:space="0" w:color="000000"/>
              <w:bottom w:val="single" w:sz="8" w:space="0" w:color="000000"/>
              <w:right w:val="single" w:sz="8" w:space="0" w:color="000000"/>
            </w:tcBorders>
            <w:shd w:val="clear" w:color="auto" w:fill="95B3D7"/>
            <w:tcMar>
              <w:top w:w="72" w:type="dxa"/>
              <w:left w:w="144" w:type="dxa"/>
              <w:bottom w:w="72" w:type="dxa"/>
              <w:right w:w="144" w:type="dxa"/>
            </w:tcMar>
            <w:hideMark/>
          </w:tcPr>
          <w:p w:rsidR="002B25A5" w:rsidRPr="002B25A5" w:rsidRDefault="002B25A5" w:rsidP="002B25A5">
            <w:pPr>
              <w:spacing w:after="0" w:line="240" w:lineRule="auto"/>
              <w:rPr>
                <w:rFonts w:ascii="Calibri" w:eastAsia="Calibri" w:hAnsi="Calibri" w:cs="Calibri"/>
              </w:rPr>
            </w:pPr>
            <w:r w:rsidRPr="002B25A5">
              <w:rPr>
                <w:rFonts w:ascii="Calibri" w:eastAsia="Calibri" w:hAnsi="Calibri" w:cs="Calibri"/>
                <w:b/>
                <w:bCs/>
              </w:rPr>
              <w:t>Provider</w:t>
            </w:r>
          </w:p>
        </w:tc>
        <w:tc>
          <w:tcPr>
            <w:tcW w:w="3060" w:type="dxa"/>
            <w:tcBorders>
              <w:top w:val="single" w:sz="8" w:space="0" w:color="000000"/>
              <w:left w:val="single" w:sz="8" w:space="0" w:color="000000"/>
              <w:bottom w:val="single" w:sz="8" w:space="0" w:color="000000"/>
              <w:right w:val="single" w:sz="8" w:space="0" w:color="000000"/>
            </w:tcBorders>
            <w:shd w:val="clear" w:color="auto" w:fill="95B3D7"/>
            <w:tcMar>
              <w:top w:w="72" w:type="dxa"/>
              <w:left w:w="144" w:type="dxa"/>
              <w:bottom w:w="72" w:type="dxa"/>
              <w:right w:w="144" w:type="dxa"/>
            </w:tcMar>
            <w:hideMark/>
          </w:tcPr>
          <w:p w:rsidR="002B25A5" w:rsidRPr="002B25A5" w:rsidRDefault="00655F6F" w:rsidP="002B25A5">
            <w:pPr>
              <w:spacing w:after="0" w:line="240" w:lineRule="auto"/>
              <w:rPr>
                <w:rFonts w:ascii="Calibri" w:eastAsia="Calibri" w:hAnsi="Calibri" w:cs="Calibri"/>
              </w:rPr>
            </w:pPr>
            <w:r>
              <w:rPr>
                <w:rFonts w:ascii="Calibri" w:eastAsia="Calibri" w:hAnsi="Calibri" w:cs="Calibri"/>
                <w:b/>
                <w:bCs/>
              </w:rPr>
              <w:t>Before</w:t>
            </w:r>
            <w:r w:rsidR="002B25A5" w:rsidRPr="002B25A5">
              <w:rPr>
                <w:rFonts w:ascii="Calibri" w:eastAsia="Calibri" w:hAnsi="Calibri" w:cs="Calibri"/>
                <w:b/>
                <w:bCs/>
              </w:rPr>
              <w:t xml:space="preserve"> 2014</w:t>
            </w:r>
          </w:p>
        </w:tc>
        <w:tc>
          <w:tcPr>
            <w:tcW w:w="4860" w:type="dxa"/>
            <w:tcBorders>
              <w:top w:val="single" w:sz="8" w:space="0" w:color="000000"/>
              <w:left w:val="single" w:sz="8" w:space="0" w:color="000000"/>
              <w:bottom w:val="single" w:sz="8" w:space="0" w:color="000000"/>
              <w:right w:val="single" w:sz="8" w:space="0" w:color="000000"/>
            </w:tcBorders>
            <w:shd w:val="clear" w:color="auto" w:fill="95B3D7"/>
            <w:tcMar>
              <w:top w:w="72" w:type="dxa"/>
              <w:left w:w="144" w:type="dxa"/>
              <w:bottom w:w="72" w:type="dxa"/>
              <w:right w:w="144" w:type="dxa"/>
            </w:tcMar>
            <w:hideMark/>
          </w:tcPr>
          <w:p w:rsidR="002B25A5" w:rsidRPr="002B25A5" w:rsidRDefault="002B25A5" w:rsidP="002B25A5">
            <w:pPr>
              <w:spacing w:after="0" w:line="240" w:lineRule="auto"/>
              <w:rPr>
                <w:rFonts w:ascii="Calibri" w:eastAsia="Calibri" w:hAnsi="Calibri" w:cs="Calibri"/>
              </w:rPr>
            </w:pPr>
            <w:r w:rsidRPr="002B25A5">
              <w:rPr>
                <w:rFonts w:ascii="Calibri" w:eastAsia="Calibri" w:hAnsi="Calibri" w:cs="Calibri"/>
                <w:b/>
                <w:bCs/>
              </w:rPr>
              <w:t>2014 and Beyond</w:t>
            </w:r>
          </w:p>
        </w:tc>
      </w:tr>
      <w:tr w:rsidR="002B25A5" w:rsidRPr="002B25A5" w:rsidTr="00CA5EAF">
        <w:trPr>
          <w:trHeight w:val="1960"/>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B25A5" w:rsidRPr="002B25A5" w:rsidRDefault="002B25A5" w:rsidP="002B25A5">
            <w:pPr>
              <w:spacing w:after="0" w:line="240" w:lineRule="auto"/>
              <w:rPr>
                <w:rFonts w:ascii="Calibri" w:eastAsia="Calibri" w:hAnsi="Calibri" w:cs="Calibri"/>
              </w:rPr>
            </w:pPr>
            <w:r w:rsidRPr="002B25A5">
              <w:rPr>
                <w:rFonts w:ascii="Calibri" w:eastAsia="Calibri" w:hAnsi="Calibri" w:cs="Calibri"/>
              </w:rPr>
              <w:t>EPs</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B25A5" w:rsidRPr="002B25A5" w:rsidRDefault="002B25A5" w:rsidP="002B25A5">
            <w:pPr>
              <w:spacing w:after="0" w:line="240" w:lineRule="auto"/>
              <w:rPr>
                <w:rFonts w:ascii="Calibri" w:eastAsia="Calibri" w:hAnsi="Calibri" w:cs="Calibri"/>
              </w:rPr>
            </w:pPr>
            <w:r w:rsidRPr="002B25A5">
              <w:rPr>
                <w:rFonts w:ascii="Calibri" w:eastAsia="Calibri" w:hAnsi="Calibri" w:cs="Calibri"/>
              </w:rPr>
              <w:t>Complete 6 out of 44</w:t>
            </w:r>
            <w:r w:rsidR="00655F6F">
              <w:rPr>
                <w:rFonts w:ascii="Calibri" w:eastAsia="Calibri" w:hAnsi="Calibri" w:cs="Calibri"/>
              </w:rPr>
              <w:t xml:space="preserve"> CQMs</w:t>
            </w:r>
          </w:p>
          <w:p w:rsidR="002B25A5" w:rsidRPr="002B25A5" w:rsidRDefault="002B25A5" w:rsidP="00340D5D">
            <w:pPr>
              <w:numPr>
                <w:ilvl w:val="0"/>
                <w:numId w:val="6"/>
              </w:numPr>
              <w:tabs>
                <w:tab w:val="clear" w:pos="720"/>
                <w:tab w:val="num" w:pos="396"/>
              </w:tabs>
              <w:spacing w:after="0" w:line="240" w:lineRule="auto"/>
              <w:ind w:left="396"/>
              <w:rPr>
                <w:rFonts w:ascii="Calibri" w:eastAsia="Calibri" w:hAnsi="Calibri" w:cs="Calibri"/>
              </w:rPr>
            </w:pPr>
            <w:r w:rsidRPr="002B25A5">
              <w:rPr>
                <w:rFonts w:ascii="Calibri" w:eastAsia="Calibri" w:hAnsi="Calibri" w:cs="Calibri"/>
              </w:rPr>
              <w:t xml:space="preserve">3 core or </w:t>
            </w:r>
            <w:r w:rsidR="00B91325">
              <w:rPr>
                <w:rFonts w:ascii="Calibri" w:eastAsia="Calibri" w:hAnsi="Calibri" w:cs="Calibri"/>
              </w:rPr>
              <w:br/>
            </w:r>
            <w:r w:rsidRPr="002B25A5">
              <w:rPr>
                <w:rFonts w:ascii="Calibri" w:eastAsia="Calibri" w:hAnsi="Calibri" w:cs="Calibri"/>
              </w:rPr>
              <w:t>3 alt</w:t>
            </w:r>
            <w:r w:rsidR="00BA60D0">
              <w:rPr>
                <w:rFonts w:ascii="Calibri" w:eastAsia="Calibri" w:hAnsi="Calibri" w:cs="Calibri"/>
              </w:rPr>
              <w:t>ernate</w:t>
            </w:r>
            <w:r w:rsidRPr="002B25A5">
              <w:rPr>
                <w:rFonts w:ascii="Calibri" w:eastAsia="Calibri" w:hAnsi="Calibri" w:cs="Calibri"/>
              </w:rPr>
              <w:t xml:space="preserve"> </w:t>
            </w:r>
            <w:r w:rsidR="006E09AA">
              <w:rPr>
                <w:rFonts w:ascii="Calibri" w:eastAsia="Calibri" w:hAnsi="Calibri" w:cs="Calibri"/>
              </w:rPr>
              <w:t>core</w:t>
            </w:r>
          </w:p>
          <w:p w:rsidR="002B25A5" w:rsidRDefault="002B25A5" w:rsidP="00340D5D">
            <w:pPr>
              <w:numPr>
                <w:ilvl w:val="0"/>
                <w:numId w:val="6"/>
              </w:numPr>
              <w:tabs>
                <w:tab w:val="clear" w:pos="720"/>
                <w:tab w:val="num" w:pos="396"/>
              </w:tabs>
              <w:spacing w:after="0" w:line="240" w:lineRule="auto"/>
              <w:ind w:left="396"/>
              <w:rPr>
                <w:rFonts w:ascii="Calibri" w:eastAsia="Calibri" w:hAnsi="Calibri" w:cs="Calibri"/>
              </w:rPr>
            </w:pPr>
            <w:r w:rsidRPr="002B25A5">
              <w:rPr>
                <w:rFonts w:ascii="Calibri" w:eastAsia="Calibri" w:hAnsi="Calibri" w:cs="Calibri"/>
              </w:rPr>
              <w:t>3 menu</w:t>
            </w:r>
          </w:p>
          <w:p w:rsidR="00B91325" w:rsidRPr="00FF0896" w:rsidRDefault="00B91325" w:rsidP="00FF0896">
            <w:pPr>
              <w:spacing w:after="0" w:line="240" w:lineRule="auto"/>
              <w:rPr>
                <w:lang w:bidi="en-US"/>
              </w:rPr>
            </w:pPr>
          </w:p>
        </w:tc>
        <w:tc>
          <w:tcPr>
            <w:tcW w:w="48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B25A5" w:rsidRDefault="002B25A5" w:rsidP="002B25A5">
            <w:pPr>
              <w:spacing w:after="0" w:line="240" w:lineRule="auto"/>
              <w:rPr>
                <w:rFonts w:ascii="Calibri" w:eastAsia="Calibri" w:hAnsi="Calibri" w:cs="Calibri"/>
              </w:rPr>
            </w:pPr>
            <w:r w:rsidRPr="002B25A5">
              <w:rPr>
                <w:rFonts w:ascii="Calibri" w:eastAsia="Calibri" w:hAnsi="Calibri" w:cs="Calibri"/>
              </w:rPr>
              <w:t xml:space="preserve">Complete 9 out of 64 </w:t>
            </w:r>
            <w:r w:rsidR="00655F6F">
              <w:rPr>
                <w:rFonts w:ascii="Calibri" w:eastAsia="Calibri" w:hAnsi="Calibri" w:cs="Calibri"/>
              </w:rPr>
              <w:t>CQMs</w:t>
            </w:r>
          </w:p>
          <w:p w:rsidR="00DA12A1" w:rsidRDefault="00DA12A1" w:rsidP="00DA12A1">
            <w:pPr>
              <w:numPr>
                <w:ilvl w:val="1"/>
                <w:numId w:val="7"/>
              </w:numPr>
              <w:tabs>
                <w:tab w:val="clear" w:pos="1440"/>
              </w:tabs>
              <w:spacing w:after="0" w:line="240" w:lineRule="auto"/>
              <w:ind w:left="396"/>
              <w:rPr>
                <w:rFonts w:ascii="Calibri" w:eastAsia="Calibri" w:hAnsi="Calibri" w:cs="Calibri"/>
              </w:rPr>
            </w:pPr>
            <w:r>
              <w:rPr>
                <w:rFonts w:ascii="Calibri" w:eastAsia="Calibri" w:hAnsi="Calibri" w:cs="Calibri"/>
              </w:rPr>
              <w:t>Recommended core CQMs</w:t>
            </w:r>
            <w:r w:rsidR="002315E9">
              <w:rPr>
                <w:rFonts w:ascii="Calibri" w:eastAsia="Calibri" w:hAnsi="Calibri" w:cs="Calibri"/>
              </w:rPr>
              <w:t>—</w:t>
            </w:r>
            <w:r>
              <w:rPr>
                <w:rFonts w:ascii="Calibri" w:eastAsia="Calibri" w:hAnsi="Calibri" w:cs="Calibri"/>
              </w:rPr>
              <w:t>encouraged but not required</w:t>
            </w:r>
          </w:p>
          <w:p w:rsidR="00DA12A1" w:rsidRDefault="00340D5D" w:rsidP="00DA12A1">
            <w:pPr>
              <w:numPr>
                <w:ilvl w:val="2"/>
                <w:numId w:val="7"/>
              </w:numPr>
              <w:tabs>
                <w:tab w:val="clear" w:pos="2160"/>
                <w:tab w:val="num" w:pos="666"/>
              </w:tabs>
              <w:spacing w:after="0" w:line="240" w:lineRule="auto"/>
              <w:ind w:hanging="1764"/>
              <w:rPr>
                <w:rFonts w:ascii="Calibri" w:eastAsia="Calibri" w:hAnsi="Calibri" w:cs="Calibri"/>
              </w:rPr>
            </w:pPr>
            <w:r w:rsidRPr="00DA12A1">
              <w:rPr>
                <w:rFonts w:ascii="Calibri" w:eastAsia="Calibri" w:hAnsi="Calibri" w:cs="Calibri"/>
              </w:rPr>
              <w:t>9</w:t>
            </w:r>
            <w:r w:rsidR="002B25A5" w:rsidRPr="00DA12A1">
              <w:rPr>
                <w:rFonts w:ascii="Calibri" w:eastAsia="Calibri" w:hAnsi="Calibri" w:cs="Calibri"/>
              </w:rPr>
              <w:t xml:space="preserve"> CQMs for the adult population</w:t>
            </w:r>
          </w:p>
          <w:p w:rsidR="002B25A5" w:rsidRDefault="002B25A5" w:rsidP="00DA12A1">
            <w:pPr>
              <w:numPr>
                <w:ilvl w:val="2"/>
                <w:numId w:val="7"/>
              </w:numPr>
              <w:tabs>
                <w:tab w:val="clear" w:pos="2160"/>
                <w:tab w:val="num" w:pos="666"/>
              </w:tabs>
              <w:spacing w:after="0" w:line="240" w:lineRule="auto"/>
              <w:ind w:hanging="1764"/>
              <w:rPr>
                <w:rFonts w:ascii="Calibri" w:eastAsia="Calibri" w:hAnsi="Calibri" w:cs="Calibri"/>
              </w:rPr>
            </w:pPr>
            <w:r w:rsidRPr="00DA12A1">
              <w:rPr>
                <w:rFonts w:ascii="Calibri" w:eastAsia="Calibri" w:hAnsi="Calibri" w:cs="Calibri"/>
              </w:rPr>
              <w:t>9 CQMs for the pediatric population</w:t>
            </w:r>
          </w:p>
          <w:p w:rsidR="00DA12A1" w:rsidRDefault="00DA12A1" w:rsidP="00DA12A1">
            <w:pPr>
              <w:numPr>
                <w:ilvl w:val="2"/>
                <w:numId w:val="7"/>
              </w:numPr>
              <w:tabs>
                <w:tab w:val="clear" w:pos="2160"/>
              </w:tabs>
              <w:spacing w:after="0" w:line="240" w:lineRule="auto"/>
              <w:ind w:left="666" w:hanging="270"/>
              <w:rPr>
                <w:rFonts w:ascii="Calibri" w:eastAsia="Calibri" w:hAnsi="Calibri" w:cs="Calibri"/>
              </w:rPr>
            </w:pPr>
            <w:r>
              <w:rPr>
                <w:rFonts w:ascii="Calibri" w:eastAsia="Calibri" w:hAnsi="Calibri" w:cs="Calibri"/>
              </w:rPr>
              <w:t>NQF 0018 strongly encouraged since controlling blood pressure is a high priority goal in many national health initiatives, including Million Hearts</w:t>
            </w:r>
          </w:p>
          <w:p w:rsidR="002B25A5" w:rsidRPr="00DA12A1" w:rsidRDefault="00DA12A1" w:rsidP="00DA12A1">
            <w:pPr>
              <w:numPr>
                <w:ilvl w:val="1"/>
                <w:numId w:val="7"/>
              </w:numPr>
              <w:tabs>
                <w:tab w:val="clear" w:pos="1440"/>
              </w:tabs>
              <w:spacing w:after="0" w:line="240" w:lineRule="auto"/>
              <w:ind w:left="396"/>
              <w:rPr>
                <w:rFonts w:ascii="Calibri" w:eastAsia="Calibri" w:hAnsi="Calibri" w:cs="Calibri"/>
              </w:rPr>
            </w:pPr>
            <w:r>
              <w:rPr>
                <w:rFonts w:ascii="Calibri" w:eastAsia="Calibri" w:hAnsi="Calibri" w:cs="Calibri"/>
              </w:rPr>
              <w:t>Selected CQMs must cover at least 3 of the National Quality Strategy domains</w:t>
            </w:r>
          </w:p>
        </w:tc>
      </w:tr>
      <w:tr w:rsidR="002B25A5" w:rsidRPr="002B25A5" w:rsidTr="00CA5EAF">
        <w:trPr>
          <w:trHeight w:val="1105"/>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B25A5" w:rsidRPr="002B25A5" w:rsidRDefault="002B25A5" w:rsidP="002B25A5">
            <w:pPr>
              <w:spacing w:after="0" w:line="240" w:lineRule="auto"/>
              <w:rPr>
                <w:rFonts w:ascii="Calibri" w:eastAsia="Calibri" w:hAnsi="Calibri" w:cs="Calibri"/>
              </w:rPr>
            </w:pPr>
            <w:r w:rsidRPr="002B25A5">
              <w:rPr>
                <w:rFonts w:ascii="Calibri" w:eastAsia="Calibri" w:hAnsi="Calibri" w:cs="Calibri"/>
              </w:rPr>
              <w:t>Eligible Hospitals and CAHs</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B25A5" w:rsidRPr="002B25A5" w:rsidRDefault="002B25A5" w:rsidP="002B25A5">
            <w:pPr>
              <w:spacing w:after="0" w:line="240" w:lineRule="auto"/>
              <w:rPr>
                <w:rFonts w:ascii="Calibri" w:eastAsia="Calibri" w:hAnsi="Calibri" w:cs="Calibri"/>
              </w:rPr>
            </w:pPr>
            <w:r w:rsidRPr="002B25A5">
              <w:rPr>
                <w:rFonts w:ascii="Calibri" w:eastAsia="Calibri" w:hAnsi="Calibri" w:cs="Calibri"/>
              </w:rPr>
              <w:t>Complete 15 out of 15</w:t>
            </w:r>
          </w:p>
        </w:tc>
        <w:tc>
          <w:tcPr>
            <w:tcW w:w="48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B25A5" w:rsidRPr="002B25A5" w:rsidRDefault="002B25A5" w:rsidP="002B25A5">
            <w:pPr>
              <w:spacing w:after="0" w:line="240" w:lineRule="auto"/>
              <w:rPr>
                <w:rFonts w:ascii="Calibri" w:eastAsia="Calibri" w:hAnsi="Calibri" w:cs="Calibri"/>
              </w:rPr>
            </w:pPr>
            <w:r w:rsidRPr="002B25A5">
              <w:rPr>
                <w:rFonts w:ascii="Calibri" w:eastAsia="Calibri" w:hAnsi="Calibri" w:cs="Calibri"/>
              </w:rPr>
              <w:t>Complete 16 out of 29</w:t>
            </w:r>
          </w:p>
          <w:p w:rsidR="002B25A5" w:rsidRPr="002B25A5" w:rsidRDefault="00DA12A1" w:rsidP="00340D5D">
            <w:pPr>
              <w:numPr>
                <w:ilvl w:val="1"/>
                <w:numId w:val="8"/>
              </w:numPr>
              <w:tabs>
                <w:tab w:val="clear" w:pos="1440"/>
                <w:tab w:val="num" w:pos="396"/>
              </w:tabs>
              <w:spacing w:after="0" w:line="240" w:lineRule="auto"/>
              <w:ind w:left="396"/>
              <w:rPr>
                <w:rFonts w:ascii="Calibri" w:eastAsia="Calibri" w:hAnsi="Calibri" w:cs="Calibri"/>
              </w:rPr>
            </w:pPr>
            <w:r>
              <w:rPr>
                <w:rFonts w:ascii="Calibri" w:eastAsia="Calibri" w:hAnsi="Calibri" w:cs="Calibri"/>
              </w:rPr>
              <w:t>Selected CQMs must cover at least 3 of the National Quality Strategy domains</w:t>
            </w:r>
          </w:p>
        </w:tc>
      </w:tr>
    </w:tbl>
    <w:p w:rsidR="00F8723E" w:rsidRDefault="00F8723E" w:rsidP="00262854">
      <w:pPr>
        <w:spacing w:after="0" w:line="240" w:lineRule="auto"/>
        <w:rPr>
          <w:rFonts w:ascii="Calibri" w:eastAsia="Calibri" w:hAnsi="Calibri" w:cs="Calibri"/>
        </w:rPr>
      </w:pPr>
    </w:p>
    <w:p w:rsidR="00A359FA" w:rsidRDefault="00A359FA" w:rsidP="005C3BD5">
      <w:pPr>
        <w:spacing w:after="0" w:line="240" w:lineRule="auto"/>
        <w:rPr>
          <w:rFonts w:ascii="Calibri" w:eastAsia="Calibri" w:hAnsi="Calibri" w:cs="Calibri"/>
          <w:b/>
        </w:rPr>
      </w:pPr>
      <w:r w:rsidRPr="00A359FA">
        <w:rPr>
          <w:rFonts w:ascii="Calibri" w:eastAsia="Calibri" w:hAnsi="Calibri" w:cs="Calibri"/>
          <w:b/>
        </w:rPr>
        <w:t xml:space="preserve">Reporting CQMs </w:t>
      </w:r>
    </w:p>
    <w:p w:rsidR="00A81C1D" w:rsidRDefault="00655F6F" w:rsidP="005C3BD5">
      <w:pPr>
        <w:spacing w:after="0" w:line="240" w:lineRule="auto"/>
        <w:rPr>
          <w:rFonts w:ascii="Calibri" w:eastAsia="Calibri" w:hAnsi="Calibri" w:cs="Calibri"/>
        </w:rPr>
      </w:pPr>
      <w:r w:rsidRPr="005C3BD5">
        <w:rPr>
          <w:rFonts w:ascii="Calibri" w:eastAsia="Calibri" w:hAnsi="Calibri" w:cs="Calibri"/>
        </w:rPr>
        <w:t>A</w:t>
      </w:r>
      <w:r w:rsidR="00A359FA" w:rsidRPr="005C3BD5">
        <w:rPr>
          <w:rFonts w:ascii="Calibri" w:eastAsia="Calibri" w:hAnsi="Calibri" w:cs="Calibri"/>
        </w:rPr>
        <w:t>ll Medicare-eligible providers in their second year and beyond of demonstrating meaningful use must electronically report CQM data to CMS</w:t>
      </w:r>
      <w:r w:rsidRPr="005C3BD5">
        <w:rPr>
          <w:rFonts w:ascii="Calibri" w:eastAsia="Calibri" w:hAnsi="Calibri" w:cs="Calibri"/>
        </w:rPr>
        <w:t>, starting in 2014</w:t>
      </w:r>
      <w:r w:rsidR="005C3BD5">
        <w:rPr>
          <w:rFonts w:ascii="Calibri" w:eastAsia="Calibri" w:hAnsi="Calibri" w:cs="Calibri"/>
        </w:rPr>
        <w:t xml:space="preserve">. </w:t>
      </w:r>
      <w:r w:rsidR="00A359FA" w:rsidRPr="005C3BD5">
        <w:rPr>
          <w:rFonts w:ascii="Calibri" w:eastAsia="Calibri" w:hAnsi="Calibri" w:cs="Calibri"/>
        </w:rPr>
        <w:t xml:space="preserve">Medicaid providers </w:t>
      </w:r>
      <w:r w:rsidR="000D6864" w:rsidRPr="005C3BD5">
        <w:rPr>
          <w:rFonts w:ascii="Calibri" w:eastAsia="Calibri" w:hAnsi="Calibri" w:cs="Calibri"/>
        </w:rPr>
        <w:t xml:space="preserve">will </w:t>
      </w:r>
      <w:r w:rsidR="00A359FA" w:rsidRPr="005C3BD5">
        <w:rPr>
          <w:rFonts w:ascii="Calibri" w:eastAsia="Calibri" w:hAnsi="Calibri" w:cs="Calibri"/>
        </w:rPr>
        <w:t>electronically report CQM data to their state</w:t>
      </w:r>
      <w:r w:rsidR="005C3BD5">
        <w:rPr>
          <w:rFonts w:ascii="Calibri" w:eastAsia="Calibri" w:hAnsi="Calibri" w:cs="Calibri"/>
        </w:rPr>
        <w:t>.</w:t>
      </w:r>
    </w:p>
    <w:p w:rsidR="005C3BD5" w:rsidRPr="005C3BD5" w:rsidRDefault="005C3BD5" w:rsidP="005C3BD5">
      <w:pPr>
        <w:spacing w:after="0" w:line="240" w:lineRule="auto"/>
        <w:rPr>
          <w:rFonts w:ascii="Calibri" w:eastAsia="Calibri" w:hAnsi="Calibri" w:cs="Calibri"/>
        </w:rPr>
      </w:pPr>
    </w:p>
    <w:p w:rsidR="00634910" w:rsidRPr="0080012C" w:rsidRDefault="00634910" w:rsidP="00634910">
      <w:pPr>
        <w:spacing w:after="0" w:line="240" w:lineRule="auto"/>
        <w:rPr>
          <w:rFonts w:cstheme="minorHAnsi"/>
          <w:b/>
        </w:rPr>
      </w:pPr>
      <w:r w:rsidRPr="0080012C">
        <w:rPr>
          <w:rFonts w:cstheme="minorHAnsi"/>
          <w:b/>
        </w:rPr>
        <w:t>Resources</w:t>
      </w:r>
    </w:p>
    <w:p w:rsidR="00634910" w:rsidRDefault="00634910" w:rsidP="00634910">
      <w:pPr>
        <w:spacing w:after="0" w:line="240" w:lineRule="auto"/>
        <w:rPr>
          <w:rFonts w:cstheme="minorHAnsi"/>
        </w:rPr>
      </w:pPr>
      <w:r>
        <w:rPr>
          <w:rFonts w:cstheme="minorHAnsi"/>
        </w:rPr>
        <w:t xml:space="preserve">For more information on Stage 2, please visit the CMS website at </w:t>
      </w:r>
      <w:hyperlink r:id="rId6" w:history="1">
        <w:r w:rsidRPr="00912408">
          <w:rPr>
            <w:rStyle w:val="Hyperlink"/>
            <w:rFonts w:cstheme="minorHAnsi"/>
          </w:rPr>
          <w:t>http://www.cms.gov/Regulations-and-Guidance/Legislation/EHRIncentivePrograms/Stage_2.html</w:t>
        </w:r>
      </w:hyperlink>
      <w:r>
        <w:rPr>
          <w:rStyle w:val="Hyperlink"/>
          <w:rFonts w:cstheme="minorHAnsi"/>
        </w:rPr>
        <w:t>.</w:t>
      </w:r>
      <w:r>
        <w:rPr>
          <w:rFonts w:cstheme="minorHAnsi"/>
        </w:rPr>
        <w:t xml:space="preserve"> </w:t>
      </w:r>
    </w:p>
    <w:p w:rsidR="00FE52F4" w:rsidRDefault="00FE52F4" w:rsidP="00437493">
      <w:pPr>
        <w:spacing w:after="0" w:line="240" w:lineRule="auto"/>
        <w:rPr>
          <w:rFonts w:ascii="Calibri" w:eastAsia="Calibri" w:hAnsi="Calibri" w:cs="Calibri"/>
          <w:b/>
          <w:bCs/>
        </w:rPr>
      </w:pPr>
    </w:p>
    <w:p w:rsidR="00437493" w:rsidRPr="00F56455" w:rsidRDefault="00437493" w:rsidP="00F56455">
      <w:pPr>
        <w:spacing w:after="0" w:line="240" w:lineRule="auto"/>
      </w:pPr>
    </w:p>
    <w:sectPr w:rsidR="00437493" w:rsidRPr="00F56455" w:rsidSect="00B91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B0920"/>
    <w:multiLevelType w:val="hybridMultilevel"/>
    <w:tmpl w:val="9B466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5409A4"/>
    <w:multiLevelType w:val="hybridMultilevel"/>
    <w:tmpl w:val="40A42D16"/>
    <w:lvl w:ilvl="0" w:tplc="04090001">
      <w:start w:val="1"/>
      <w:numFmt w:val="bullet"/>
      <w:lvlText w:val=""/>
      <w:lvlJc w:val="left"/>
      <w:pPr>
        <w:ind w:left="360" w:hanging="360"/>
      </w:pPr>
      <w:rPr>
        <w:rFonts w:ascii="Symbol" w:hAnsi="Symbol" w:hint="default"/>
        <w:color w:val="002060"/>
      </w:rPr>
    </w:lvl>
    <w:lvl w:ilvl="1" w:tplc="4B706C4A">
      <w:start w:val="1"/>
      <w:numFmt w:val="bullet"/>
      <w:lvlText w:val=""/>
      <w:lvlJc w:val="left"/>
      <w:pPr>
        <w:ind w:left="1080" w:hanging="360"/>
      </w:pPr>
      <w:rPr>
        <w:rFonts w:ascii="Wingdings" w:hAnsi="Wingdings" w:hint="default"/>
        <w:color w:val="002060"/>
      </w:rPr>
    </w:lvl>
    <w:lvl w:ilvl="2" w:tplc="04090003">
      <w:start w:val="1"/>
      <w:numFmt w:val="bullet"/>
      <w:lvlText w:val="o"/>
      <w:lvlJc w:val="left"/>
      <w:pPr>
        <w:ind w:left="1800" w:hanging="360"/>
      </w:pPr>
      <w:rPr>
        <w:rFonts w:ascii="Courier New" w:hAnsi="Courier New" w:cs="Courier New" w:hint="default"/>
        <w:color w:val="002060"/>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B93ABF"/>
    <w:multiLevelType w:val="hybridMultilevel"/>
    <w:tmpl w:val="F1F27442"/>
    <w:lvl w:ilvl="0" w:tplc="04090001">
      <w:start w:val="1"/>
      <w:numFmt w:val="bullet"/>
      <w:lvlText w:val=""/>
      <w:lvlJc w:val="left"/>
      <w:pPr>
        <w:ind w:left="360" w:hanging="360"/>
      </w:pPr>
      <w:rPr>
        <w:rFonts w:ascii="Symbol" w:hAnsi="Symbol" w:hint="default"/>
        <w:color w:val="00206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4B6466"/>
    <w:multiLevelType w:val="hybridMultilevel"/>
    <w:tmpl w:val="7A5A4C7E"/>
    <w:lvl w:ilvl="0" w:tplc="B0C4F8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9615F"/>
    <w:multiLevelType w:val="hybridMultilevel"/>
    <w:tmpl w:val="7BB2FF10"/>
    <w:lvl w:ilvl="0" w:tplc="CD92E4D8">
      <w:start w:val="1"/>
      <w:numFmt w:val="bullet"/>
      <w:lvlText w:val="•"/>
      <w:lvlJc w:val="left"/>
      <w:pPr>
        <w:tabs>
          <w:tab w:val="num" w:pos="720"/>
        </w:tabs>
        <w:ind w:left="720" w:hanging="360"/>
      </w:pPr>
      <w:rPr>
        <w:rFonts w:ascii="Arial" w:hAnsi="Arial" w:hint="default"/>
      </w:rPr>
    </w:lvl>
    <w:lvl w:ilvl="1" w:tplc="DE2E4536">
      <w:start w:val="1"/>
      <w:numFmt w:val="bullet"/>
      <w:lvlText w:val="•"/>
      <w:lvlJc w:val="left"/>
      <w:pPr>
        <w:tabs>
          <w:tab w:val="num" w:pos="1440"/>
        </w:tabs>
        <w:ind w:left="1440" w:hanging="360"/>
      </w:pPr>
      <w:rPr>
        <w:rFonts w:ascii="Arial" w:hAnsi="Arial" w:hint="default"/>
      </w:rPr>
    </w:lvl>
    <w:lvl w:ilvl="2" w:tplc="B52493E6" w:tentative="1">
      <w:start w:val="1"/>
      <w:numFmt w:val="bullet"/>
      <w:lvlText w:val="•"/>
      <w:lvlJc w:val="left"/>
      <w:pPr>
        <w:tabs>
          <w:tab w:val="num" w:pos="2160"/>
        </w:tabs>
        <w:ind w:left="2160" w:hanging="360"/>
      </w:pPr>
      <w:rPr>
        <w:rFonts w:ascii="Arial" w:hAnsi="Arial" w:hint="default"/>
      </w:rPr>
    </w:lvl>
    <w:lvl w:ilvl="3" w:tplc="7FFEB7FA" w:tentative="1">
      <w:start w:val="1"/>
      <w:numFmt w:val="bullet"/>
      <w:lvlText w:val="•"/>
      <w:lvlJc w:val="left"/>
      <w:pPr>
        <w:tabs>
          <w:tab w:val="num" w:pos="2880"/>
        </w:tabs>
        <w:ind w:left="2880" w:hanging="360"/>
      </w:pPr>
      <w:rPr>
        <w:rFonts w:ascii="Arial" w:hAnsi="Arial" w:hint="default"/>
      </w:rPr>
    </w:lvl>
    <w:lvl w:ilvl="4" w:tplc="7FC2A6E0" w:tentative="1">
      <w:start w:val="1"/>
      <w:numFmt w:val="bullet"/>
      <w:lvlText w:val="•"/>
      <w:lvlJc w:val="left"/>
      <w:pPr>
        <w:tabs>
          <w:tab w:val="num" w:pos="3600"/>
        </w:tabs>
        <w:ind w:left="3600" w:hanging="360"/>
      </w:pPr>
      <w:rPr>
        <w:rFonts w:ascii="Arial" w:hAnsi="Arial" w:hint="default"/>
      </w:rPr>
    </w:lvl>
    <w:lvl w:ilvl="5" w:tplc="81EA705C" w:tentative="1">
      <w:start w:val="1"/>
      <w:numFmt w:val="bullet"/>
      <w:lvlText w:val="•"/>
      <w:lvlJc w:val="left"/>
      <w:pPr>
        <w:tabs>
          <w:tab w:val="num" w:pos="4320"/>
        </w:tabs>
        <w:ind w:left="4320" w:hanging="360"/>
      </w:pPr>
      <w:rPr>
        <w:rFonts w:ascii="Arial" w:hAnsi="Arial" w:hint="default"/>
      </w:rPr>
    </w:lvl>
    <w:lvl w:ilvl="6" w:tplc="15C0C134" w:tentative="1">
      <w:start w:val="1"/>
      <w:numFmt w:val="bullet"/>
      <w:lvlText w:val="•"/>
      <w:lvlJc w:val="left"/>
      <w:pPr>
        <w:tabs>
          <w:tab w:val="num" w:pos="5040"/>
        </w:tabs>
        <w:ind w:left="5040" w:hanging="360"/>
      </w:pPr>
      <w:rPr>
        <w:rFonts w:ascii="Arial" w:hAnsi="Arial" w:hint="default"/>
      </w:rPr>
    </w:lvl>
    <w:lvl w:ilvl="7" w:tplc="75EEBDE0" w:tentative="1">
      <w:start w:val="1"/>
      <w:numFmt w:val="bullet"/>
      <w:lvlText w:val="•"/>
      <w:lvlJc w:val="left"/>
      <w:pPr>
        <w:tabs>
          <w:tab w:val="num" w:pos="5760"/>
        </w:tabs>
        <w:ind w:left="5760" w:hanging="360"/>
      </w:pPr>
      <w:rPr>
        <w:rFonts w:ascii="Arial" w:hAnsi="Arial" w:hint="default"/>
      </w:rPr>
    </w:lvl>
    <w:lvl w:ilvl="8" w:tplc="E23C9FD6" w:tentative="1">
      <w:start w:val="1"/>
      <w:numFmt w:val="bullet"/>
      <w:lvlText w:val="•"/>
      <w:lvlJc w:val="left"/>
      <w:pPr>
        <w:tabs>
          <w:tab w:val="num" w:pos="6480"/>
        </w:tabs>
        <w:ind w:left="6480" w:hanging="360"/>
      </w:pPr>
      <w:rPr>
        <w:rFonts w:ascii="Arial" w:hAnsi="Arial" w:hint="default"/>
      </w:rPr>
    </w:lvl>
  </w:abstractNum>
  <w:abstractNum w:abstractNumId="5">
    <w:nsid w:val="41DF5160"/>
    <w:multiLevelType w:val="hybridMultilevel"/>
    <w:tmpl w:val="103072FE"/>
    <w:lvl w:ilvl="0" w:tplc="11AE878A">
      <w:start w:val="1"/>
      <w:numFmt w:val="bullet"/>
      <w:lvlText w:val="•"/>
      <w:lvlJc w:val="left"/>
      <w:pPr>
        <w:tabs>
          <w:tab w:val="num" w:pos="720"/>
        </w:tabs>
        <w:ind w:left="720" w:hanging="360"/>
      </w:pPr>
      <w:rPr>
        <w:rFonts w:ascii="Arial" w:hAnsi="Arial" w:hint="default"/>
      </w:rPr>
    </w:lvl>
    <w:lvl w:ilvl="1" w:tplc="253607E6">
      <w:start w:val="1"/>
      <w:numFmt w:val="bullet"/>
      <w:lvlText w:val="•"/>
      <w:lvlJc w:val="left"/>
      <w:pPr>
        <w:tabs>
          <w:tab w:val="num" w:pos="1440"/>
        </w:tabs>
        <w:ind w:left="1440" w:hanging="360"/>
      </w:pPr>
      <w:rPr>
        <w:rFonts w:ascii="Arial" w:hAnsi="Arial" w:hint="default"/>
      </w:rPr>
    </w:lvl>
    <w:lvl w:ilvl="2" w:tplc="63FEA612" w:tentative="1">
      <w:start w:val="1"/>
      <w:numFmt w:val="bullet"/>
      <w:lvlText w:val="•"/>
      <w:lvlJc w:val="left"/>
      <w:pPr>
        <w:tabs>
          <w:tab w:val="num" w:pos="2160"/>
        </w:tabs>
        <w:ind w:left="2160" w:hanging="360"/>
      </w:pPr>
      <w:rPr>
        <w:rFonts w:ascii="Arial" w:hAnsi="Arial" w:hint="default"/>
      </w:rPr>
    </w:lvl>
    <w:lvl w:ilvl="3" w:tplc="A2EE0666" w:tentative="1">
      <w:start w:val="1"/>
      <w:numFmt w:val="bullet"/>
      <w:lvlText w:val="•"/>
      <w:lvlJc w:val="left"/>
      <w:pPr>
        <w:tabs>
          <w:tab w:val="num" w:pos="2880"/>
        </w:tabs>
        <w:ind w:left="2880" w:hanging="360"/>
      </w:pPr>
      <w:rPr>
        <w:rFonts w:ascii="Arial" w:hAnsi="Arial" w:hint="default"/>
      </w:rPr>
    </w:lvl>
    <w:lvl w:ilvl="4" w:tplc="F11A1988" w:tentative="1">
      <w:start w:val="1"/>
      <w:numFmt w:val="bullet"/>
      <w:lvlText w:val="•"/>
      <w:lvlJc w:val="left"/>
      <w:pPr>
        <w:tabs>
          <w:tab w:val="num" w:pos="3600"/>
        </w:tabs>
        <w:ind w:left="3600" w:hanging="360"/>
      </w:pPr>
      <w:rPr>
        <w:rFonts w:ascii="Arial" w:hAnsi="Arial" w:hint="default"/>
      </w:rPr>
    </w:lvl>
    <w:lvl w:ilvl="5" w:tplc="ECF04BD0" w:tentative="1">
      <w:start w:val="1"/>
      <w:numFmt w:val="bullet"/>
      <w:lvlText w:val="•"/>
      <w:lvlJc w:val="left"/>
      <w:pPr>
        <w:tabs>
          <w:tab w:val="num" w:pos="4320"/>
        </w:tabs>
        <w:ind w:left="4320" w:hanging="360"/>
      </w:pPr>
      <w:rPr>
        <w:rFonts w:ascii="Arial" w:hAnsi="Arial" w:hint="default"/>
      </w:rPr>
    </w:lvl>
    <w:lvl w:ilvl="6" w:tplc="F60CE9D4" w:tentative="1">
      <w:start w:val="1"/>
      <w:numFmt w:val="bullet"/>
      <w:lvlText w:val="•"/>
      <w:lvlJc w:val="left"/>
      <w:pPr>
        <w:tabs>
          <w:tab w:val="num" w:pos="5040"/>
        </w:tabs>
        <w:ind w:left="5040" w:hanging="360"/>
      </w:pPr>
      <w:rPr>
        <w:rFonts w:ascii="Arial" w:hAnsi="Arial" w:hint="default"/>
      </w:rPr>
    </w:lvl>
    <w:lvl w:ilvl="7" w:tplc="1C624C92" w:tentative="1">
      <w:start w:val="1"/>
      <w:numFmt w:val="bullet"/>
      <w:lvlText w:val="•"/>
      <w:lvlJc w:val="left"/>
      <w:pPr>
        <w:tabs>
          <w:tab w:val="num" w:pos="5760"/>
        </w:tabs>
        <w:ind w:left="5760" w:hanging="360"/>
      </w:pPr>
      <w:rPr>
        <w:rFonts w:ascii="Arial" w:hAnsi="Arial" w:hint="default"/>
      </w:rPr>
    </w:lvl>
    <w:lvl w:ilvl="8" w:tplc="E1BA5454" w:tentative="1">
      <w:start w:val="1"/>
      <w:numFmt w:val="bullet"/>
      <w:lvlText w:val="•"/>
      <w:lvlJc w:val="left"/>
      <w:pPr>
        <w:tabs>
          <w:tab w:val="num" w:pos="6480"/>
        </w:tabs>
        <w:ind w:left="6480" w:hanging="360"/>
      </w:pPr>
      <w:rPr>
        <w:rFonts w:ascii="Arial" w:hAnsi="Arial" w:hint="default"/>
      </w:rPr>
    </w:lvl>
  </w:abstractNum>
  <w:abstractNum w:abstractNumId="6">
    <w:nsid w:val="4CBA44CC"/>
    <w:multiLevelType w:val="hybridMultilevel"/>
    <w:tmpl w:val="F634E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12707F7"/>
    <w:multiLevelType w:val="hybridMultilevel"/>
    <w:tmpl w:val="7E8A0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1902D48"/>
    <w:multiLevelType w:val="hybridMultilevel"/>
    <w:tmpl w:val="9AE4A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23A0768"/>
    <w:multiLevelType w:val="hybridMultilevel"/>
    <w:tmpl w:val="82300E7A"/>
    <w:lvl w:ilvl="0" w:tplc="9DBE0E64">
      <w:start w:val="1"/>
      <w:numFmt w:val="bullet"/>
      <w:lvlText w:val="•"/>
      <w:lvlJc w:val="left"/>
      <w:pPr>
        <w:tabs>
          <w:tab w:val="num" w:pos="720"/>
        </w:tabs>
        <w:ind w:left="720" w:hanging="360"/>
      </w:pPr>
      <w:rPr>
        <w:rFonts w:ascii="Arial" w:hAnsi="Arial" w:hint="default"/>
      </w:rPr>
    </w:lvl>
    <w:lvl w:ilvl="1" w:tplc="569C0314">
      <w:start w:val="1"/>
      <w:numFmt w:val="bullet"/>
      <w:lvlText w:val="•"/>
      <w:lvlJc w:val="left"/>
      <w:pPr>
        <w:tabs>
          <w:tab w:val="num" w:pos="1440"/>
        </w:tabs>
        <w:ind w:left="1440" w:hanging="360"/>
      </w:pPr>
      <w:rPr>
        <w:rFonts w:ascii="Arial" w:hAnsi="Arial" w:hint="default"/>
      </w:rPr>
    </w:lvl>
    <w:lvl w:ilvl="2" w:tplc="60AC10E4">
      <w:start w:val="1"/>
      <w:numFmt w:val="bullet"/>
      <w:lvlText w:val="•"/>
      <w:lvlJc w:val="left"/>
      <w:pPr>
        <w:tabs>
          <w:tab w:val="num" w:pos="2160"/>
        </w:tabs>
        <w:ind w:left="2160" w:hanging="360"/>
      </w:pPr>
      <w:rPr>
        <w:rFonts w:ascii="Arial" w:hAnsi="Arial" w:hint="default"/>
      </w:rPr>
    </w:lvl>
    <w:lvl w:ilvl="3" w:tplc="6694CB06" w:tentative="1">
      <w:start w:val="1"/>
      <w:numFmt w:val="bullet"/>
      <w:lvlText w:val="•"/>
      <w:lvlJc w:val="left"/>
      <w:pPr>
        <w:tabs>
          <w:tab w:val="num" w:pos="2880"/>
        </w:tabs>
        <w:ind w:left="2880" w:hanging="360"/>
      </w:pPr>
      <w:rPr>
        <w:rFonts w:ascii="Arial" w:hAnsi="Arial" w:hint="default"/>
      </w:rPr>
    </w:lvl>
    <w:lvl w:ilvl="4" w:tplc="45846D2E" w:tentative="1">
      <w:start w:val="1"/>
      <w:numFmt w:val="bullet"/>
      <w:lvlText w:val="•"/>
      <w:lvlJc w:val="left"/>
      <w:pPr>
        <w:tabs>
          <w:tab w:val="num" w:pos="3600"/>
        </w:tabs>
        <w:ind w:left="3600" w:hanging="360"/>
      </w:pPr>
      <w:rPr>
        <w:rFonts w:ascii="Arial" w:hAnsi="Arial" w:hint="default"/>
      </w:rPr>
    </w:lvl>
    <w:lvl w:ilvl="5" w:tplc="F4E6B02C" w:tentative="1">
      <w:start w:val="1"/>
      <w:numFmt w:val="bullet"/>
      <w:lvlText w:val="•"/>
      <w:lvlJc w:val="left"/>
      <w:pPr>
        <w:tabs>
          <w:tab w:val="num" w:pos="4320"/>
        </w:tabs>
        <w:ind w:left="4320" w:hanging="360"/>
      </w:pPr>
      <w:rPr>
        <w:rFonts w:ascii="Arial" w:hAnsi="Arial" w:hint="default"/>
      </w:rPr>
    </w:lvl>
    <w:lvl w:ilvl="6" w:tplc="1BA6355E" w:tentative="1">
      <w:start w:val="1"/>
      <w:numFmt w:val="bullet"/>
      <w:lvlText w:val="•"/>
      <w:lvlJc w:val="left"/>
      <w:pPr>
        <w:tabs>
          <w:tab w:val="num" w:pos="5040"/>
        </w:tabs>
        <w:ind w:left="5040" w:hanging="360"/>
      </w:pPr>
      <w:rPr>
        <w:rFonts w:ascii="Arial" w:hAnsi="Arial" w:hint="default"/>
      </w:rPr>
    </w:lvl>
    <w:lvl w:ilvl="7" w:tplc="CA2C6DDC" w:tentative="1">
      <w:start w:val="1"/>
      <w:numFmt w:val="bullet"/>
      <w:lvlText w:val="•"/>
      <w:lvlJc w:val="left"/>
      <w:pPr>
        <w:tabs>
          <w:tab w:val="num" w:pos="5760"/>
        </w:tabs>
        <w:ind w:left="5760" w:hanging="360"/>
      </w:pPr>
      <w:rPr>
        <w:rFonts w:ascii="Arial" w:hAnsi="Arial" w:hint="default"/>
      </w:rPr>
    </w:lvl>
    <w:lvl w:ilvl="8" w:tplc="20248AD0" w:tentative="1">
      <w:start w:val="1"/>
      <w:numFmt w:val="bullet"/>
      <w:lvlText w:val="•"/>
      <w:lvlJc w:val="left"/>
      <w:pPr>
        <w:tabs>
          <w:tab w:val="num" w:pos="6480"/>
        </w:tabs>
        <w:ind w:left="6480" w:hanging="360"/>
      </w:pPr>
      <w:rPr>
        <w:rFonts w:ascii="Arial" w:hAnsi="Arial" w:hint="default"/>
      </w:rPr>
    </w:lvl>
  </w:abstractNum>
  <w:abstractNum w:abstractNumId="10">
    <w:nsid w:val="63F44D3B"/>
    <w:multiLevelType w:val="hybridMultilevel"/>
    <w:tmpl w:val="118E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A6547B"/>
    <w:multiLevelType w:val="hybridMultilevel"/>
    <w:tmpl w:val="8B20E8E4"/>
    <w:lvl w:ilvl="0" w:tplc="092E9982">
      <w:start w:val="1"/>
      <w:numFmt w:val="decimal"/>
      <w:lvlText w:val="%1."/>
      <w:lvlJc w:val="left"/>
      <w:pPr>
        <w:ind w:left="360" w:hanging="360"/>
      </w:pPr>
      <w:rPr>
        <w:rFonts w:hint="default"/>
        <w:color w:val="0020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91A22D1"/>
    <w:multiLevelType w:val="hybridMultilevel"/>
    <w:tmpl w:val="A890094E"/>
    <w:lvl w:ilvl="0" w:tplc="B60A13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1"/>
  </w:num>
  <w:num w:numId="4">
    <w:abstractNumId w:val="1"/>
  </w:num>
  <w:num w:numId="5">
    <w:abstractNumId w:val="2"/>
  </w:num>
  <w:num w:numId="6">
    <w:abstractNumId w:val="4"/>
  </w:num>
  <w:num w:numId="7">
    <w:abstractNumId w:val="9"/>
  </w:num>
  <w:num w:numId="8">
    <w:abstractNumId w:val="5"/>
  </w:num>
  <w:num w:numId="9">
    <w:abstractNumId w:val="10"/>
  </w:num>
  <w:num w:numId="10">
    <w:abstractNumId w:val="7"/>
  </w:num>
  <w:num w:numId="11">
    <w:abstractNumId w:val="8"/>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38"/>
    <w:rsid w:val="000228AD"/>
    <w:rsid w:val="00077F8D"/>
    <w:rsid w:val="0008384B"/>
    <w:rsid w:val="00090EE5"/>
    <w:rsid w:val="000B6ADB"/>
    <w:rsid w:val="000D6864"/>
    <w:rsid w:val="000F798B"/>
    <w:rsid w:val="00112863"/>
    <w:rsid w:val="00121062"/>
    <w:rsid w:val="00153FBA"/>
    <w:rsid w:val="001A0441"/>
    <w:rsid w:val="001B2CB8"/>
    <w:rsid w:val="001C4C9B"/>
    <w:rsid w:val="001D6810"/>
    <w:rsid w:val="001F23D0"/>
    <w:rsid w:val="002315E9"/>
    <w:rsid w:val="00244AD1"/>
    <w:rsid w:val="00262854"/>
    <w:rsid w:val="002B25A5"/>
    <w:rsid w:val="002C6A39"/>
    <w:rsid w:val="0031790B"/>
    <w:rsid w:val="00326FEA"/>
    <w:rsid w:val="00333D42"/>
    <w:rsid w:val="00340D5D"/>
    <w:rsid w:val="00344001"/>
    <w:rsid w:val="003E498E"/>
    <w:rsid w:val="00437493"/>
    <w:rsid w:val="004603E5"/>
    <w:rsid w:val="00465299"/>
    <w:rsid w:val="00492624"/>
    <w:rsid w:val="00496505"/>
    <w:rsid w:val="004A5DF2"/>
    <w:rsid w:val="004E2EA5"/>
    <w:rsid w:val="00582ED3"/>
    <w:rsid w:val="005908B4"/>
    <w:rsid w:val="005C3BD5"/>
    <w:rsid w:val="005F4D59"/>
    <w:rsid w:val="00634910"/>
    <w:rsid w:val="00655F6F"/>
    <w:rsid w:val="006954BF"/>
    <w:rsid w:val="006B40C3"/>
    <w:rsid w:val="006E09AA"/>
    <w:rsid w:val="007063AB"/>
    <w:rsid w:val="00756A52"/>
    <w:rsid w:val="00817465"/>
    <w:rsid w:val="008346CD"/>
    <w:rsid w:val="008908A2"/>
    <w:rsid w:val="008F3192"/>
    <w:rsid w:val="009F27AC"/>
    <w:rsid w:val="00A0329A"/>
    <w:rsid w:val="00A24C30"/>
    <w:rsid w:val="00A359FA"/>
    <w:rsid w:val="00A81C1D"/>
    <w:rsid w:val="00AA0A8A"/>
    <w:rsid w:val="00B45CF7"/>
    <w:rsid w:val="00B50162"/>
    <w:rsid w:val="00B62B05"/>
    <w:rsid w:val="00B91325"/>
    <w:rsid w:val="00BA60D0"/>
    <w:rsid w:val="00C21438"/>
    <w:rsid w:val="00C359CA"/>
    <w:rsid w:val="00C4611F"/>
    <w:rsid w:val="00C645BF"/>
    <w:rsid w:val="00C7106A"/>
    <w:rsid w:val="00CA5EAF"/>
    <w:rsid w:val="00CA6C3C"/>
    <w:rsid w:val="00D02B84"/>
    <w:rsid w:val="00DA12A1"/>
    <w:rsid w:val="00DF1B0E"/>
    <w:rsid w:val="00E00715"/>
    <w:rsid w:val="00E43C1B"/>
    <w:rsid w:val="00E4545F"/>
    <w:rsid w:val="00F063D7"/>
    <w:rsid w:val="00F56455"/>
    <w:rsid w:val="00F8723E"/>
    <w:rsid w:val="00F9400F"/>
    <w:rsid w:val="00FE52F4"/>
    <w:rsid w:val="00FF0896"/>
    <w:rsid w:val="00FF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954BF"/>
    <w:rPr>
      <w:sz w:val="16"/>
      <w:szCs w:val="16"/>
    </w:rPr>
  </w:style>
  <w:style w:type="paragraph" w:styleId="CommentText">
    <w:name w:val="annotation text"/>
    <w:basedOn w:val="Normal"/>
    <w:link w:val="CommentTextChar"/>
    <w:uiPriority w:val="99"/>
    <w:semiHidden/>
    <w:unhideWhenUsed/>
    <w:rsid w:val="006954BF"/>
    <w:pPr>
      <w:spacing w:line="240" w:lineRule="auto"/>
    </w:pPr>
    <w:rPr>
      <w:sz w:val="20"/>
      <w:szCs w:val="20"/>
    </w:rPr>
  </w:style>
  <w:style w:type="character" w:customStyle="1" w:styleId="CommentTextChar">
    <w:name w:val="Comment Text Char"/>
    <w:basedOn w:val="DefaultParagraphFont"/>
    <w:link w:val="CommentText"/>
    <w:uiPriority w:val="99"/>
    <w:semiHidden/>
    <w:rsid w:val="006954BF"/>
    <w:rPr>
      <w:sz w:val="20"/>
      <w:szCs w:val="20"/>
    </w:rPr>
  </w:style>
  <w:style w:type="paragraph" w:styleId="CommentSubject">
    <w:name w:val="annotation subject"/>
    <w:basedOn w:val="CommentText"/>
    <w:next w:val="CommentText"/>
    <w:link w:val="CommentSubjectChar"/>
    <w:uiPriority w:val="99"/>
    <w:semiHidden/>
    <w:unhideWhenUsed/>
    <w:rsid w:val="006954BF"/>
    <w:rPr>
      <w:b/>
      <w:bCs/>
    </w:rPr>
  </w:style>
  <w:style w:type="character" w:customStyle="1" w:styleId="CommentSubjectChar">
    <w:name w:val="Comment Subject Char"/>
    <w:basedOn w:val="CommentTextChar"/>
    <w:link w:val="CommentSubject"/>
    <w:uiPriority w:val="99"/>
    <w:semiHidden/>
    <w:rsid w:val="006954BF"/>
    <w:rPr>
      <w:b/>
      <w:bCs/>
      <w:sz w:val="20"/>
      <w:szCs w:val="20"/>
    </w:rPr>
  </w:style>
  <w:style w:type="paragraph" w:styleId="BalloonText">
    <w:name w:val="Balloon Text"/>
    <w:basedOn w:val="Normal"/>
    <w:link w:val="BalloonTextChar"/>
    <w:uiPriority w:val="99"/>
    <w:semiHidden/>
    <w:unhideWhenUsed/>
    <w:rsid w:val="00695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4BF"/>
    <w:rPr>
      <w:rFonts w:ascii="Tahoma" w:hAnsi="Tahoma" w:cs="Tahoma"/>
      <w:sz w:val="16"/>
      <w:szCs w:val="16"/>
    </w:rPr>
  </w:style>
  <w:style w:type="paragraph" w:styleId="ListParagraph">
    <w:name w:val="List Paragraph"/>
    <w:basedOn w:val="Normal"/>
    <w:uiPriority w:val="34"/>
    <w:qFormat/>
    <w:rsid w:val="00F56455"/>
    <w:pPr>
      <w:ind w:left="720"/>
      <w:contextualSpacing/>
    </w:pPr>
  </w:style>
  <w:style w:type="character" w:styleId="Hyperlink">
    <w:name w:val="Hyperlink"/>
    <w:basedOn w:val="DefaultParagraphFont"/>
    <w:uiPriority w:val="99"/>
    <w:unhideWhenUsed/>
    <w:rsid w:val="004374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954BF"/>
    <w:rPr>
      <w:sz w:val="16"/>
      <w:szCs w:val="16"/>
    </w:rPr>
  </w:style>
  <w:style w:type="paragraph" w:styleId="CommentText">
    <w:name w:val="annotation text"/>
    <w:basedOn w:val="Normal"/>
    <w:link w:val="CommentTextChar"/>
    <w:uiPriority w:val="99"/>
    <w:semiHidden/>
    <w:unhideWhenUsed/>
    <w:rsid w:val="006954BF"/>
    <w:pPr>
      <w:spacing w:line="240" w:lineRule="auto"/>
    </w:pPr>
    <w:rPr>
      <w:sz w:val="20"/>
      <w:szCs w:val="20"/>
    </w:rPr>
  </w:style>
  <w:style w:type="character" w:customStyle="1" w:styleId="CommentTextChar">
    <w:name w:val="Comment Text Char"/>
    <w:basedOn w:val="DefaultParagraphFont"/>
    <w:link w:val="CommentText"/>
    <w:uiPriority w:val="99"/>
    <w:semiHidden/>
    <w:rsid w:val="006954BF"/>
    <w:rPr>
      <w:sz w:val="20"/>
      <w:szCs w:val="20"/>
    </w:rPr>
  </w:style>
  <w:style w:type="paragraph" w:styleId="CommentSubject">
    <w:name w:val="annotation subject"/>
    <w:basedOn w:val="CommentText"/>
    <w:next w:val="CommentText"/>
    <w:link w:val="CommentSubjectChar"/>
    <w:uiPriority w:val="99"/>
    <w:semiHidden/>
    <w:unhideWhenUsed/>
    <w:rsid w:val="006954BF"/>
    <w:rPr>
      <w:b/>
      <w:bCs/>
    </w:rPr>
  </w:style>
  <w:style w:type="character" w:customStyle="1" w:styleId="CommentSubjectChar">
    <w:name w:val="Comment Subject Char"/>
    <w:basedOn w:val="CommentTextChar"/>
    <w:link w:val="CommentSubject"/>
    <w:uiPriority w:val="99"/>
    <w:semiHidden/>
    <w:rsid w:val="006954BF"/>
    <w:rPr>
      <w:b/>
      <w:bCs/>
      <w:sz w:val="20"/>
      <w:szCs w:val="20"/>
    </w:rPr>
  </w:style>
  <w:style w:type="paragraph" w:styleId="BalloonText">
    <w:name w:val="Balloon Text"/>
    <w:basedOn w:val="Normal"/>
    <w:link w:val="BalloonTextChar"/>
    <w:uiPriority w:val="99"/>
    <w:semiHidden/>
    <w:unhideWhenUsed/>
    <w:rsid w:val="00695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4BF"/>
    <w:rPr>
      <w:rFonts w:ascii="Tahoma" w:hAnsi="Tahoma" w:cs="Tahoma"/>
      <w:sz w:val="16"/>
      <w:szCs w:val="16"/>
    </w:rPr>
  </w:style>
  <w:style w:type="paragraph" w:styleId="ListParagraph">
    <w:name w:val="List Paragraph"/>
    <w:basedOn w:val="Normal"/>
    <w:uiPriority w:val="34"/>
    <w:qFormat/>
    <w:rsid w:val="00F56455"/>
    <w:pPr>
      <w:ind w:left="720"/>
      <w:contextualSpacing/>
    </w:pPr>
  </w:style>
  <w:style w:type="character" w:styleId="Hyperlink">
    <w:name w:val="Hyperlink"/>
    <w:basedOn w:val="DefaultParagraphFont"/>
    <w:uiPriority w:val="99"/>
    <w:unhideWhenUsed/>
    <w:rsid w:val="004374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5313">
      <w:bodyDiv w:val="1"/>
      <w:marLeft w:val="0"/>
      <w:marRight w:val="0"/>
      <w:marTop w:val="0"/>
      <w:marBottom w:val="0"/>
      <w:divBdr>
        <w:top w:val="none" w:sz="0" w:space="0" w:color="auto"/>
        <w:left w:val="none" w:sz="0" w:space="0" w:color="auto"/>
        <w:bottom w:val="none" w:sz="0" w:space="0" w:color="auto"/>
        <w:right w:val="none" w:sz="0" w:space="0" w:color="auto"/>
      </w:divBdr>
    </w:div>
    <w:div w:id="40637117">
      <w:bodyDiv w:val="1"/>
      <w:marLeft w:val="0"/>
      <w:marRight w:val="0"/>
      <w:marTop w:val="0"/>
      <w:marBottom w:val="0"/>
      <w:divBdr>
        <w:top w:val="none" w:sz="0" w:space="0" w:color="auto"/>
        <w:left w:val="none" w:sz="0" w:space="0" w:color="auto"/>
        <w:bottom w:val="none" w:sz="0" w:space="0" w:color="auto"/>
        <w:right w:val="none" w:sz="0" w:space="0" w:color="auto"/>
      </w:divBdr>
    </w:div>
    <w:div w:id="82727136">
      <w:bodyDiv w:val="1"/>
      <w:marLeft w:val="0"/>
      <w:marRight w:val="0"/>
      <w:marTop w:val="0"/>
      <w:marBottom w:val="0"/>
      <w:divBdr>
        <w:top w:val="none" w:sz="0" w:space="0" w:color="auto"/>
        <w:left w:val="none" w:sz="0" w:space="0" w:color="auto"/>
        <w:bottom w:val="none" w:sz="0" w:space="0" w:color="auto"/>
        <w:right w:val="none" w:sz="0" w:space="0" w:color="auto"/>
      </w:divBdr>
    </w:div>
    <w:div w:id="207570007">
      <w:bodyDiv w:val="1"/>
      <w:marLeft w:val="0"/>
      <w:marRight w:val="0"/>
      <w:marTop w:val="0"/>
      <w:marBottom w:val="0"/>
      <w:divBdr>
        <w:top w:val="none" w:sz="0" w:space="0" w:color="auto"/>
        <w:left w:val="none" w:sz="0" w:space="0" w:color="auto"/>
        <w:bottom w:val="none" w:sz="0" w:space="0" w:color="auto"/>
        <w:right w:val="none" w:sz="0" w:space="0" w:color="auto"/>
      </w:divBdr>
    </w:div>
    <w:div w:id="289554046">
      <w:bodyDiv w:val="1"/>
      <w:marLeft w:val="0"/>
      <w:marRight w:val="0"/>
      <w:marTop w:val="0"/>
      <w:marBottom w:val="0"/>
      <w:divBdr>
        <w:top w:val="none" w:sz="0" w:space="0" w:color="auto"/>
        <w:left w:val="none" w:sz="0" w:space="0" w:color="auto"/>
        <w:bottom w:val="none" w:sz="0" w:space="0" w:color="auto"/>
        <w:right w:val="none" w:sz="0" w:space="0" w:color="auto"/>
      </w:divBdr>
    </w:div>
    <w:div w:id="429548429">
      <w:bodyDiv w:val="1"/>
      <w:marLeft w:val="0"/>
      <w:marRight w:val="0"/>
      <w:marTop w:val="0"/>
      <w:marBottom w:val="0"/>
      <w:divBdr>
        <w:top w:val="none" w:sz="0" w:space="0" w:color="auto"/>
        <w:left w:val="none" w:sz="0" w:space="0" w:color="auto"/>
        <w:bottom w:val="none" w:sz="0" w:space="0" w:color="auto"/>
        <w:right w:val="none" w:sz="0" w:space="0" w:color="auto"/>
      </w:divBdr>
    </w:div>
    <w:div w:id="448014782">
      <w:bodyDiv w:val="1"/>
      <w:marLeft w:val="0"/>
      <w:marRight w:val="0"/>
      <w:marTop w:val="0"/>
      <w:marBottom w:val="0"/>
      <w:divBdr>
        <w:top w:val="none" w:sz="0" w:space="0" w:color="auto"/>
        <w:left w:val="none" w:sz="0" w:space="0" w:color="auto"/>
        <w:bottom w:val="none" w:sz="0" w:space="0" w:color="auto"/>
        <w:right w:val="none" w:sz="0" w:space="0" w:color="auto"/>
      </w:divBdr>
    </w:div>
    <w:div w:id="951285100">
      <w:bodyDiv w:val="1"/>
      <w:marLeft w:val="0"/>
      <w:marRight w:val="0"/>
      <w:marTop w:val="0"/>
      <w:marBottom w:val="0"/>
      <w:divBdr>
        <w:top w:val="none" w:sz="0" w:space="0" w:color="auto"/>
        <w:left w:val="none" w:sz="0" w:space="0" w:color="auto"/>
        <w:bottom w:val="none" w:sz="0" w:space="0" w:color="auto"/>
        <w:right w:val="none" w:sz="0" w:space="0" w:color="auto"/>
      </w:divBdr>
    </w:div>
    <w:div w:id="1091390817">
      <w:bodyDiv w:val="1"/>
      <w:marLeft w:val="0"/>
      <w:marRight w:val="0"/>
      <w:marTop w:val="0"/>
      <w:marBottom w:val="0"/>
      <w:divBdr>
        <w:top w:val="none" w:sz="0" w:space="0" w:color="auto"/>
        <w:left w:val="none" w:sz="0" w:space="0" w:color="auto"/>
        <w:bottom w:val="none" w:sz="0" w:space="0" w:color="auto"/>
        <w:right w:val="none" w:sz="0" w:space="0" w:color="auto"/>
      </w:divBdr>
    </w:div>
    <w:div w:id="1413819720">
      <w:bodyDiv w:val="1"/>
      <w:marLeft w:val="0"/>
      <w:marRight w:val="0"/>
      <w:marTop w:val="0"/>
      <w:marBottom w:val="0"/>
      <w:divBdr>
        <w:top w:val="none" w:sz="0" w:space="0" w:color="auto"/>
        <w:left w:val="none" w:sz="0" w:space="0" w:color="auto"/>
        <w:bottom w:val="none" w:sz="0" w:space="0" w:color="auto"/>
        <w:right w:val="none" w:sz="0" w:space="0" w:color="auto"/>
      </w:divBdr>
      <w:divsChild>
        <w:div w:id="423500324">
          <w:marLeft w:val="0"/>
          <w:marRight w:val="0"/>
          <w:marTop w:val="0"/>
          <w:marBottom w:val="0"/>
          <w:divBdr>
            <w:top w:val="none" w:sz="0" w:space="0" w:color="auto"/>
            <w:left w:val="none" w:sz="0" w:space="0" w:color="auto"/>
            <w:bottom w:val="none" w:sz="0" w:space="0" w:color="auto"/>
            <w:right w:val="none" w:sz="0" w:space="0" w:color="auto"/>
          </w:divBdr>
        </w:div>
      </w:divsChild>
    </w:div>
    <w:div w:id="1467626319">
      <w:bodyDiv w:val="1"/>
      <w:marLeft w:val="0"/>
      <w:marRight w:val="0"/>
      <w:marTop w:val="0"/>
      <w:marBottom w:val="0"/>
      <w:divBdr>
        <w:top w:val="none" w:sz="0" w:space="0" w:color="auto"/>
        <w:left w:val="none" w:sz="0" w:space="0" w:color="auto"/>
        <w:bottom w:val="none" w:sz="0" w:space="0" w:color="auto"/>
        <w:right w:val="none" w:sz="0" w:space="0" w:color="auto"/>
      </w:divBdr>
    </w:div>
    <w:div w:id="1484005920">
      <w:bodyDiv w:val="1"/>
      <w:marLeft w:val="0"/>
      <w:marRight w:val="0"/>
      <w:marTop w:val="0"/>
      <w:marBottom w:val="0"/>
      <w:divBdr>
        <w:top w:val="none" w:sz="0" w:space="0" w:color="auto"/>
        <w:left w:val="none" w:sz="0" w:space="0" w:color="auto"/>
        <w:bottom w:val="none" w:sz="0" w:space="0" w:color="auto"/>
        <w:right w:val="none" w:sz="0" w:space="0" w:color="auto"/>
      </w:divBdr>
    </w:div>
    <w:div w:id="1512797445">
      <w:bodyDiv w:val="1"/>
      <w:marLeft w:val="0"/>
      <w:marRight w:val="0"/>
      <w:marTop w:val="0"/>
      <w:marBottom w:val="0"/>
      <w:divBdr>
        <w:top w:val="none" w:sz="0" w:space="0" w:color="auto"/>
        <w:left w:val="none" w:sz="0" w:space="0" w:color="auto"/>
        <w:bottom w:val="none" w:sz="0" w:space="0" w:color="auto"/>
        <w:right w:val="none" w:sz="0" w:space="0" w:color="auto"/>
      </w:divBdr>
    </w:div>
    <w:div w:id="1558518251">
      <w:bodyDiv w:val="1"/>
      <w:marLeft w:val="0"/>
      <w:marRight w:val="0"/>
      <w:marTop w:val="0"/>
      <w:marBottom w:val="0"/>
      <w:divBdr>
        <w:top w:val="none" w:sz="0" w:space="0" w:color="auto"/>
        <w:left w:val="none" w:sz="0" w:space="0" w:color="auto"/>
        <w:bottom w:val="none" w:sz="0" w:space="0" w:color="auto"/>
        <w:right w:val="none" w:sz="0" w:space="0" w:color="auto"/>
      </w:divBdr>
    </w:div>
    <w:div w:id="1585185832">
      <w:bodyDiv w:val="1"/>
      <w:marLeft w:val="0"/>
      <w:marRight w:val="0"/>
      <w:marTop w:val="0"/>
      <w:marBottom w:val="0"/>
      <w:divBdr>
        <w:top w:val="none" w:sz="0" w:space="0" w:color="auto"/>
        <w:left w:val="none" w:sz="0" w:space="0" w:color="auto"/>
        <w:bottom w:val="none" w:sz="0" w:space="0" w:color="auto"/>
        <w:right w:val="none" w:sz="0" w:space="0" w:color="auto"/>
      </w:divBdr>
    </w:div>
    <w:div w:id="1615286139">
      <w:bodyDiv w:val="1"/>
      <w:marLeft w:val="0"/>
      <w:marRight w:val="0"/>
      <w:marTop w:val="0"/>
      <w:marBottom w:val="0"/>
      <w:divBdr>
        <w:top w:val="none" w:sz="0" w:space="0" w:color="auto"/>
        <w:left w:val="none" w:sz="0" w:space="0" w:color="auto"/>
        <w:bottom w:val="none" w:sz="0" w:space="0" w:color="auto"/>
        <w:right w:val="none" w:sz="0" w:space="0" w:color="auto"/>
      </w:divBdr>
      <w:divsChild>
        <w:div w:id="1744523834">
          <w:marLeft w:val="446"/>
          <w:marRight w:val="0"/>
          <w:marTop w:val="0"/>
          <w:marBottom w:val="0"/>
          <w:divBdr>
            <w:top w:val="none" w:sz="0" w:space="0" w:color="auto"/>
            <w:left w:val="none" w:sz="0" w:space="0" w:color="auto"/>
            <w:bottom w:val="none" w:sz="0" w:space="0" w:color="auto"/>
            <w:right w:val="none" w:sz="0" w:space="0" w:color="auto"/>
          </w:divBdr>
        </w:div>
        <w:div w:id="852646557">
          <w:marLeft w:val="446"/>
          <w:marRight w:val="0"/>
          <w:marTop w:val="0"/>
          <w:marBottom w:val="0"/>
          <w:divBdr>
            <w:top w:val="none" w:sz="0" w:space="0" w:color="auto"/>
            <w:left w:val="none" w:sz="0" w:space="0" w:color="auto"/>
            <w:bottom w:val="none" w:sz="0" w:space="0" w:color="auto"/>
            <w:right w:val="none" w:sz="0" w:space="0" w:color="auto"/>
          </w:divBdr>
        </w:div>
        <w:div w:id="761415481">
          <w:marLeft w:val="446"/>
          <w:marRight w:val="0"/>
          <w:marTop w:val="0"/>
          <w:marBottom w:val="0"/>
          <w:divBdr>
            <w:top w:val="none" w:sz="0" w:space="0" w:color="auto"/>
            <w:left w:val="none" w:sz="0" w:space="0" w:color="auto"/>
            <w:bottom w:val="none" w:sz="0" w:space="0" w:color="auto"/>
            <w:right w:val="none" w:sz="0" w:space="0" w:color="auto"/>
          </w:divBdr>
        </w:div>
        <w:div w:id="1928614380">
          <w:marLeft w:val="446"/>
          <w:marRight w:val="0"/>
          <w:marTop w:val="0"/>
          <w:marBottom w:val="0"/>
          <w:divBdr>
            <w:top w:val="none" w:sz="0" w:space="0" w:color="auto"/>
            <w:left w:val="none" w:sz="0" w:space="0" w:color="auto"/>
            <w:bottom w:val="none" w:sz="0" w:space="0" w:color="auto"/>
            <w:right w:val="none" w:sz="0" w:space="0" w:color="auto"/>
          </w:divBdr>
        </w:div>
        <w:div w:id="1749959249">
          <w:marLeft w:val="446"/>
          <w:marRight w:val="0"/>
          <w:marTop w:val="0"/>
          <w:marBottom w:val="0"/>
          <w:divBdr>
            <w:top w:val="none" w:sz="0" w:space="0" w:color="auto"/>
            <w:left w:val="none" w:sz="0" w:space="0" w:color="auto"/>
            <w:bottom w:val="none" w:sz="0" w:space="0" w:color="auto"/>
            <w:right w:val="none" w:sz="0" w:space="0" w:color="auto"/>
          </w:divBdr>
        </w:div>
        <w:div w:id="384181270">
          <w:marLeft w:val="446"/>
          <w:marRight w:val="0"/>
          <w:marTop w:val="0"/>
          <w:marBottom w:val="0"/>
          <w:divBdr>
            <w:top w:val="none" w:sz="0" w:space="0" w:color="auto"/>
            <w:left w:val="none" w:sz="0" w:space="0" w:color="auto"/>
            <w:bottom w:val="none" w:sz="0" w:space="0" w:color="auto"/>
            <w:right w:val="none" w:sz="0" w:space="0" w:color="auto"/>
          </w:divBdr>
        </w:div>
      </w:divsChild>
    </w:div>
    <w:div w:id="1731684723">
      <w:bodyDiv w:val="1"/>
      <w:marLeft w:val="0"/>
      <w:marRight w:val="0"/>
      <w:marTop w:val="0"/>
      <w:marBottom w:val="0"/>
      <w:divBdr>
        <w:top w:val="none" w:sz="0" w:space="0" w:color="auto"/>
        <w:left w:val="none" w:sz="0" w:space="0" w:color="auto"/>
        <w:bottom w:val="none" w:sz="0" w:space="0" w:color="auto"/>
        <w:right w:val="none" w:sz="0" w:space="0" w:color="auto"/>
      </w:divBdr>
    </w:div>
    <w:div w:id="1766880829">
      <w:bodyDiv w:val="1"/>
      <w:marLeft w:val="0"/>
      <w:marRight w:val="0"/>
      <w:marTop w:val="0"/>
      <w:marBottom w:val="0"/>
      <w:divBdr>
        <w:top w:val="none" w:sz="0" w:space="0" w:color="auto"/>
        <w:left w:val="none" w:sz="0" w:space="0" w:color="auto"/>
        <w:bottom w:val="none" w:sz="0" w:space="0" w:color="auto"/>
        <w:right w:val="none" w:sz="0" w:space="0" w:color="auto"/>
      </w:divBdr>
    </w:div>
    <w:div w:id="1945113402">
      <w:bodyDiv w:val="1"/>
      <w:marLeft w:val="0"/>
      <w:marRight w:val="0"/>
      <w:marTop w:val="0"/>
      <w:marBottom w:val="0"/>
      <w:divBdr>
        <w:top w:val="none" w:sz="0" w:space="0" w:color="auto"/>
        <w:left w:val="none" w:sz="0" w:space="0" w:color="auto"/>
        <w:bottom w:val="none" w:sz="0" w:space="0" w:color="auto"/>
        <w:right w:val="none" w:sz="0" w:space="0" w:color="auto"/>
      </w:divBdr>
    </w:div>
    <w:div w:id="1954821871">
      <w:bodyDiv w:val="1"/>
      <w:marLeft w:val="0"/>
      <w:marRight w:val="0"/>
      <w:marTop w:val="0"/>
      <w:marBottom w:val="0"/>
      <w:divBdr>
        <w:top w:val="none" w:sz="0" w:space="0" w:color="auto"/>
        <w:left w:val="none" w:sz="0" w:space="0" w:color="auto"/>
        <w:bottom w:val="none" w:sz="0" w:space="0" w:color="auto"/>
        <w:right w:val="none" w:sz="0" w:space="0" w:color="auto"/>
      </w:divBdr>
      <w:divsChild>
        <w:div w:id="798571817">
          <w:marLeft w:val="0"/>
          <w:marRight w:val="0"/>
          <w:marTop w:val="0"/>
          <w:marBottom w:val="0"/>
          <w:divBdr>
            <w:top w:val="none" w:sz="0" w:space="0" w:color="auto"/>
            <w:left w:val="none" w:sz="0" w:space="0" w:color="auto"/>
            <w:bottom w:val="none" w:sz="0" w:space="0" w:color="auto"/>
            <w:right w:val="none" w:sz="0" w:space="0" w:color="auto"/>
          </w:divBdr>
        </w:div>
      </w:divsChild>
    </w:div>
    <w:div w:id="209821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s.gov/Regulations-and-Guidance/Legislation/EHRIncentivePrograms/Stage_2.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Ketchum Inc</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conradt1</dc:creator>
  <cp:lastModifiedBy>Chelsea Skovgaard</cp:lastModifiedBy>
  <cp:revision>2</cp:revision>
  <cp:lastPrinted>2012-08-13T13:15:00Z</cp:lastPrinted>
  <dcterms:created xsi:type="dcterms:W3CDTF">2013-03-25T18:10:00Z</dcterms:created>
  <dcterms:modified xsi:type="dcterms:W3CDTF">2013-03-25T18:10:00Z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137942935</vt:i4>
  </property>
  <property fmtid="{D5CDD505-2E9C-101B-9397-08002B2CF9AE}" pid="4" name="_EmailSubject">
    <vt:lpwstr>CMS Region VIII Frontier Focus - Electronic Health Record Incentive Program Drop-In Articles</vt:lpwstr>
  </property>
  <property fmtid="{D5CDD505-2E9C-101B-9397-08002B2CF9AE}" pid="5" name="_AuthorEmail">
    <vt:lpwstr>FrontierFocus@cms.hhs.gov</vt:lpwstr>
  </property>
  <property fmtid="{D5CDD505-2E9C-101B-9397-08002B2CF9AE}" pid="6" name="_AuthorEmailDisplayName">
    <vt:lpwstr>CMS Frontier Focus</vt:lpwstr>
  </property>
  <property fmtid="{D5CDD505-2E9C-101B-9397-08002B2CF9AE}" pid="7" name="_ReviewingToolsShownOnce">
    <vt:lpwstr/>
  </property>
</Properties>
</file>