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C3" w:rsidRPr="00844F82" w:rsidRDefault="00A043C3" w:rsidP="00445A1C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Medicare EHR Incentive Program</w:t>
      </w:r>
      <w:r w:rsidR="00D81842"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</w:rPr>
        <w:t xml:space="preserve">Learn About </w:t>
      </w:r>
      <w:r w:rsidR="00D53AED">
        <w:rPr>
          <w:rFonts w:ascii="Calibri" w:eastAsia="Calibri" w:hAnsi="Calibri" w:cs="Calibri"/>
          <w:b/>
          <w:bCs/>
        </w:rPr>
        <w:t>Payment Adjustment</w:t>
      </w:r>
      <w:r w:rsidR="00D81842">
        <w:rPr>
          <w:rFonts w:ascii="Calibri" w:eastAsia="Calibri" w:hAnsi="Calibri" w:cs="Calibri"/>
          <w:b/>
          <w:bCs/>
        </w:rPr>
        <w:t>s and</w:t>
      </w:r>
      <w:r w:rsidR="003C29E3">
        <w:rPr>
          <w:rFonts w:ascii="Calibri" w:eastAsia="Calibri" w:hAnsi="Calibri" w:cs="Calibri"/>
          <w:b/>
          <w:bCs/>
        </w:rPr>
        <w:t xml:space="preserve"> Hardship Exceptions</w:t>
      </w:r>
      <w:r w:rsidR="00D53AED">
        <w:rPr>
          <w:rFonts w:ascii="Calibri" w:eastAsia="Calibri" w:hAnsi="Calibri" w:cs="Calibri"/>
          <w:b/>
          <w:bCs/>
        </w:rPr>
        <w:t xml:space="preserve"> </w:t>
      </w:r>
    </w:p>
    <w:p w:rsidR="00CC5CA5" w:rsidRDefault="00CC5CA5" w:rsidP="00445A1C">
      <w:pPr>
        <w:spacing w:after="0" w:line="240" w:lineRule="auto"/>
        <w:rPr>
          <w:lang w:bidi="en-US"/>
        </w:rPr>
      </w:pPr>
      <w:r>
        <w:rPr>
          <w:rFonts w:ascii="Calibri" w:eastAsia="Calibri" w:hAnsi="Calibri" w:cs="Calibri"/>
          <w:bCs/>
        </w:rPr>
        <w:t xml:space="preserve">If you are a Medicare </w:t>
      </w:r>
      <w:r w:rsidR="00196104">
        <w:rPr>
          <w:rFonts w:ascii="Calibri" w:eastAsia="Calibri" w:hAnsi="Calibri" w:cs="Calibri"/>
          <w:bCs/>
        </w:rPr>
        <w:t>eligible profession</w:t>
      </w:r>
      <w:r w:rsidR="003C29E3">
        <w:rPr>
          <w:rFonts w:ascii="Calibri" w:eastAsia="Calibri" w:hAnsi="Calibri" w:cs="Calibri"/>
          <w:bCs/>
        </w:rPr>
        <w:t>al</w:t>
      </w:r>
      <w:r w:rsidR="00196104">
        <w:rPr>
          <w:rFonts w:ascii="Calibri" w:eastAsia="Calibri" w:hAnsi="Calibri" w:cs="Calibri"/>
          <w:bCs/>
        </w:rPr>
        <w:t xml:space="preserve"> (</w:t>
      </w:r>
      <w:r>
        <w:rPr>
          <w:rFonts w:ascii="Calibri" w:eastAsia="Calibri" w:hAnsi="Calibri" w:cs="Calibri"/>
          <w:bCs/>
        </w:rPr>
        <w:t>EP</w:t>
      </w:r>
      <w:r w:rsidR="00196104">
        <w:rPr>
          <w:rFonts w:ascii="Calibri" w:eastAsia="Calibri" w:hAnsi="Calibri" w:cs="Calibri"/>
          <w:bCs/>
        </w:rPr>
        <w:t>),</w:t>
      </w:r>
      <w:r w:rsidR="003C29E3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an eligible hospital</w:t>
      </w:r>
      <w:r w:rsidR="003C29E3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or </w:t>
      </w:r>
      <w:r w:rsidR="003C29E3">
        <w:rPr>
          <w:rFonts w:ascii="Calibri" w:eastAsia="Calibri" w:hAnsi="Calibri" w:cs="Calibri"/>
          <w:bCs/>
        </w:rPr>
        <w:t xml:space="preserve">a </w:t>
      </w:r>
      <w:r w:rsidR="00196104">
        <w:rPr>
          <w:rFonts w:ascii="Calibri" w:eastAsia="Calibri" w:hAnsi="Calibri" w:cs="Calibri"/>
          <w:bCs/>
        </w:rPr>
        <w:t>critical access hospital (</w:t>
      </w:r>
      <w:r>
        <w:rPr>
          <w:rFonts w:ascii="Calibri" w:eastAsia="Calibri" w:hAnsi="Calibri" w:cs="Calibri"/>
          <w:bCs/>
        </w:rPr>
        <w:t>CAH</w:t>
      </w:r>
      <w:r w:rsidR="00196104">
        <w:rPr>
          <w:rFonts w:ascii="Calibri" w:eastAsia="Calibri" w:hAnsi="Calibri" w:cs="Calibri"/>
          <w:bCs/>
        </w:rPr>
        <w:t>)</w:t>
      </w:r>
      <w:r>
        <w:rPr>
          <w:rFonts w:ascii="Calibri" w:eastAsia="Calibri" w:hAnsi="Calibri" w:cs="Calibri"/>
          <w:bCs/>
        </w:rPr>
        <w:t xml:space="preserve">, congressionally mandated payment </w:t>
      </w:r>
      <w:r w:rsidR="005C389E">
        <w:rPr>
          <w:rFonts w:ascii="Calibri" w:eastAsia="Calibri" w:hAnsi="Calibri" w:cs="Calibri"/>
          <w:bCs/>
        </w:rPr>
        <w:t xml:space="preserve">adjustments </w:t>
      </w:r>
      <w:r w:rsidRPr="005C389E">
        <w:rPr>
          <w:rFonts w:ascii="Calibri" w:eastAsia="Calibri" w:hAnsi="Calibri" w:cs="Calibri"/>
          <w:bCs/>
        </w:rPr>
        <w:t>will be</w:t>
      </w:r>
      <w:r>
        <w:rPr>
          <w:rFonts w:ascii="Calibri" w:eastAsia="Calibri" w:hAnsi="Calibri" w:cs="Calibri"/>
          <w:bCs/>
        </w:rPr>
        <w:t xml:space="preserve"> applied if you do not demonstrate meaningful use of certified </w:t>
      </w:r>
      <w:r>
        <w:rPr>
          <w:lang w:bidi="en-US"/>
        </w:rPr>
        <w:t>electronic health record (EHR) technology.</w:t>
      </w:r>
    </w:p>
    <w:p w:rsidR="00355ACA" w:rsidRDefault="00355ACA" w:rsidP="00355ACA">
      <w:pPr>
        <w:spacing w:after="0" w:line="240" w:lineRule="auto"/>
        <w:rPr>
          <w:lang w:bidi="en-US"/>
        </w:rPr>
      </w:pPr>
    </w:p>
    <w:p w:rsidR="00A545AD" w:rsidRDefault="00A043C3" w:rsidP="00355ACA">
      <w:pPr>
        <w:spacing w:after="0" w:line="240" w:lineRule="auto"/>
        <w:rPr>
          <w:b/>
          <w:lang w:bidi="en-US"/>
        </w:rPr>
      </w:pPr>
      <w:r>
        <w:rPr>
          <w:b/>
          <w:lang w:bidi="en-US"/>
        </w:rPr>
        <w:t>An Overview of Payment Adjustments</w:t>
      </w:r>
    </w:p>
    <w:p w:rsidR="00A545AD" w:rsidRPr="00A545AD" w:rsidRDefault="00A545AD" w:rsidP="00A545AD">
      <w:pPr>
        <w:spacing w:after="0" w:line="240" w:lineRule="auto"/>
        <w:rPr>
          <w:lang w:bidi="en-US"/>
        </w:rPr>
      </w:pPr>
      <w:r w:rsidRPr="00A545AD">
        <w:rPr>
          <w:lang w:bidi="en-US"/>
        </w:rPr>
        <w:t xml:space="preserve">Payment adjustments </w:t>
      </w:r>
      <w:r>
        <w:rPr>
          <w:lang w:bidi="en-US"/>
        </w:rPr>
        <w:t xml:space="preserve">for providers eligible for the </w:t>
      </w:r>
      <w:r w:rsidR="00C82370">
        <w:rPr>
          <w:lang w:bidi="en-US"/>
        </w:rPr>
        <w:t>Medicare EHR Incentive P</w:t>
      </w:r>
      <w:r>
        <w:rPr>
          <w:lang w:bidi="en-US"/>
        </w:rPr>
        <w:t xml:space="preserve">rogram are based on </w:t>
      </w:r>
      <w:r w:rsidR="00C82370">
        <w:rPr>
          <w:lang w:bidi="en-US"/>
        </w:rPr>
        <w:t xml:space="preserve">an EP’s </w:t>
      </w:r>
      <w:r w:rsidRPr="00A545AD">
        <w:rPr>
          <w:lang w:bidi="en-US"/>
        </w:rPr>
        <w:t>prior reporting periods. The length of the reporting period depends upon the first year of participation.</w:t>
      </w:r>
    </w:p>
    <w:p w:rsidR="00F0600A" w:rsidRPr="00A545AD" w:rsidRDefault="00F0600A" w:rsidP="00355ACA">
      <w:pPr>
        <w:spacing w:after="0" w:line="240" w:lineRule="auto"/>
        <w:rPr>
          <w:lang w:bidi="en-US"/>
        </w:rPr>
      </w:pPr>
    </w:p>
    <w:p w:rsidR="00D81C58" w:rsidRPr="00D81C58" w:rsidRDefault="003C29E3" w:rsidP="00F0600A">
      <w:pPr>
        <w:spacing w:after="0" w:line="240" w:lineRule="auto"/>
        <w:rPr>
          <w:lang w:bidi="en-US"/>
        </w:rPr>
      </w:pPr>
      <w:r w:rsidRPr="00D81C58">
        <w:rPr>
          <w:i/>
          <w:lang w:bidi="en-US"/>
        </w:rPr>
        <w:t xml:space="preserve">For </w:t>
      </w:r>
      <w:r w:rsidR="003D1111" w:rsidRPr="00D81C58">
        <w:rPr>
          <w:i/>
          <w:lang w:bidi="en-US"/>
        </w:rPr>
        <w:t>Medicare EPs</w:t>
      </w:r>
    </w:p>
    <w:p w:rsidR="003D1111" w:rsidRPr="00F0600A" w:rsidRDefault="00D81C58" w:rsidP="00F0600A">
      <w:pPr>
        <w:spacing w:after="0" w:line="240" w:lineRule="auto"/>
        <w:rPr>
          <w:lang w:bidi="en-US"/>
        </w:rPr>
      </w:pPr>
      <w:r>
        <w:rPr>
          <w:lang w:bidi="en-US"/>
        </w:rPr>
        <w:t>P</w:t>
      </w:r>
      <w:r w:rsidR="00F0600A">
        <w:rPr>
          <w:lang w:bidi="en-US"/>
        </w:rPr>
        <w:t xml:space="preserve">ayment adjustments begin on January 1, 2015. </w:t>
      </w:r>
      <w:r w:rsidR="00F0600A" w:rsidRPr="00F0600A">
        <w:rPr>
          <w:lang w:bidi="en-US"/>
        </w:rPr>
        <w:t xml:space="preserve">The </w:t>
      </w:r>
      <w:r w:rsidR="00844F82">
        <w:rPr>
          <w:lang w:bidi="en-US"/>
        </w:rPr>
        <w:t>p</w:t>
      </w:r>
      <w:r w:rsidR="00A959C8" w:rsidRPr="00F0600A">
        <w:t xml:space="preserve">ayment </w:t>
      </w:r>
      <w:r w:rsidR="00F0600A" w:rsidRPr="00F0600A">
        <w:t>a</w:t>
      </w:r>
      <w:r w:rsidR="003D1111" w:rsidRPr="00F0600A">
        <w:t xml:space="preserve">djustment </w:t>
      </w:r>
      <w:r w:rsidR="00F0600A" w:rsidRPr="00F0600A">
        <w:t>is</w:t>
      </w:r>
      <w:r w:rsidR="00F0600A">
        <w:t xml:space="preserve"> </w:t>
      </w:r>
      <w:r w:rsidR="00A959C8" w:rsidRPr="00F0600A">
        <w:t>1%</w:t>
      </w:r>
      <w:r w:rsidR="003D1111" w:rsidRPr="00F0600A">
        <w:t xml:space="preserve"> per year</w:t>
      </w:r>
      <w:r w:rsidR="0000554B" w:rsidRPr="00F0600A">
        <w:t>,</w:t>
      </w:r>
      <w:r w:rsidR="003D1111" w:rsidRPr="00F0600A">
        <w:t xml:space="preserve"> cumulative for every year that an EP is not a meaningful user. The maximum cumulative payment ad</w:t>
      </w:r>
      <w:r w:rsidR="00A959C8" w:rsidRPr="00F0600A">
        <w:t xml:space="preserve">justment </w:t>
      </w:r>
      <w:r w:rsidR="0000554B" w:rsidRPr="00F0600A">
        <w:t>is</w:t>
      </w:r>
      <w:r w:rsidR="00B327D7" w:rsidRPr="00F0600A">
        <w:t xml:space="preserve"> </w:t>
      </w:r>
      <w:r w:rsidR="00A959C8" w:rsidRPr="00F0600A">
        <w:t>5%</w:t>
      </w:r>
      <w:r w:rsidR="003D1111" w:rsidRPr="00F0600A">
        <w:t>.</w:t>
      </w:r>
    </w:p>
    <w:p w:rsidR="003D1111" w:rsidRPr="00D73464" w:rsidRDefault="003D1111" w:rsidP="00F0600A">
      <w:pPr>
        <w:pStyle w:val="ListParagraph"/>
        <w:spacing w:after="0" w:line="240" w:lineRule="auto"/>
        <w:rPr>
          <w:lang w:bidi="en-US"/>
        </w:rPr>
      </w:pPr>
    </w:p>
    <w:p w:rsidR="00D81C58" w:rsidRPr="00D81C58" w:rsidRDefault="003C29E3" w:rsidP="00F0600A">
      <w:pPr>
        <w:spacing w:after="0" w:line="240" w:lineRule="auto"/>
        <w:rPr>
          <w:i/>
          <w:lang w:bidi="en-US"/>
        </w:rPr>
      </w:pPr>
      <w:r w:rsidRPr="00D81C58">
        <w:rPr>
          <w:i/>
          <w:lang w:bidi="en-US"/>
        </w:rPr>
        <w:t xml:space="preserve">For </w:t>
      </w:r>
      <w:r w:rsidR="003D1111" w:rsidRPr="00D81C58">
        <w:rPr>
          <w:i/>
          <w:lang w:bidi="en-US"/>
        </w:rPr>
        <w:t>Medicare Subsection (d) Eligible Hospitals</w:t>
      </w:r>
    </w:p>
    <w:p w:rsidR="003D1111" w:rsidRPr="00A043C3" w:rsidRDefault="00D81C58" w:rsidP="00F0600A">
      <w:pPr>
        <w:spacing w:after="0" w:line="240" w:lineRule="auto"/>
        <w:rPr>
          <w:lang w:bidi="en-US"/>
        </w:rPr>
      </w:pPr>
      <w:r>
        <w:rPr>
          <w:lang w:bidi="en-US"/>
        </w:rPr>
        <w:t>P</w:t>
      </w:r>
      <w:r w:rsidR="00F0600A">
        <w:rPr>
          <w:lang w:bidi="en-US"/>
        </w:rPr>
        <w:t>ayment adjustments begin on October 1, 2014.</w:t>
      </w:r>
      <w:r w:rsidR="00A043C3">
        <w:rPr>
          <w:lang w:bidi="en-US"/>
        </w:rPr>
        <w:t xml:space="preserve"> </w:t>
      </w:r>
      <w:r w:rsidR="00F0600A">
        <w:rPr>
          <w:lang w:bidi="en-US"/>
        </w:rPr>
        <w:t xml:space="preserve">The </w:t>
      </w:r>
      <w:r w:rsidR="00F0600A">
        <w:rPr>
          <w:rFonts w:ascii="Calibri" w:eastAsia="Calibri" w:hAnsi="Calibri" w:cs="Calibri"/>
          <w:bCs/>
        </w:rPr>
        <w:t>p</w:t>
      </w:r>
      <w:r w:rsidR="00A959C8" w:rsidRPr="00F0600A">
        <w:rPr>
          <w:rFonts w:ascii="Calibri" w:eastAsia="Calibri" w:hAnsi="Calibri" w:cs="Calibri"/>
          <w:bCs/>
        </w:rPr>
        <w:t xml:space="preserve">ayment </w:t>
      </w:r>
      <w:r w:rsidR="00F0600A">
        <w:rPr>
          <w:rFonts w:ascii="Calibri" w:eastAsia="Calibri" w:hAnsi="Calibri" w:cs="Calibri"/>
          <w:bCs/>
        </w:rPr>
        <w:t>a</w:t>
      </w:r>
      <w:r w:rsidR="003D1111" w:rsidRPr="00F0600A">
        <w:rPr>
          <w:rFonts w:ascii="Calibri" w:eastAsia="Calibri" w:hAnsi="Calibri" w:cs="Calibri"/>
          <w:bCs/>
        </w:rPr>
        <w:t>djustment</w:t>
      </w:r>
      <w:r w:rsidR="00F0600A">
        <w:rPr>
          <w:rFonts w:ascii="Calibri" w:eastAsia="Calibri" w:hAnsi="Calibri" w:cs="Calibri"/>
          <w:bCs/>
        </w:rPr>
        <w:t xml:space="preserve"> is a</w:t>
      </w:r>
      <w:r w:rsidR="003D1111" w:rsidRPr="00224C13">
        <w:t xml:space="preserve">pplicable to the percentage increase to the Inpatient Prospective Payment System (IPPS) rate. </w:t>
      </w:r>
      <w:r w:rsidR="00A959C8">
        <w:t>H</w:t>
      </w:r>
      <w:r w:rsidR="003D1111" w:rsidRPr="00224C13">
        <w:t>ospitals</w:t>
      </w:r>
      <w:r w:rsidR="00A959C8">
        <w:t xml:space="preserve"> that do not demonstrate meaningful use</w:t>
      </w:r>
      <w:r w:rsidR="003D1111" w:rsidRPr="00224C13">
        <w:t xml:space="preserve"> will receive a </w:t>
      </w:r>
      <w:r w:rsidR="003A4537">
        <w:t>lower payment than</w:t>
      </w:r>
      <w:r w:rsidR="003D1111" w:rsidRPr="00224C13">
        <w:t xml:space="preserve"> the IPPS standard amount. The payment adjustment is cumulative for each year that a Medicare Subsection (d) eligible </w:t>
      </w:r>
      <w:r w:rsidR="00A959C8">
        <w:t>hospital does not demonstrate meaningful use.</w:t>
      </w:r>
    </w:p>
    <w:p w:rsidR="003D1111" w:rsidRDefault="003D1111" w:rsidP="00355ACA">
      <w:pPr>
        <w:spacing w:after="0" w:line="240" w:lineRule="auto"/>
        <w:rPr>
          <w:b/>
          <w:lang w:bidi="en-US"/>
        </w:rPr>
      </w:pPr>
    </w:p>
    <w:p w:rsidR="00D81C58" w:rsidRDefault="003C29E3" w:rsidP="00F0600A">
      <w:pPr>
        <w:spacing w:after="0" w:line="240" w:lineRule="auto"/>
        <w:rPr>
          <w:lang w:bidi="en-US"/>
        </w:rPr>
      </w:pPr>
      <w:r w:rsidRPr="00D81C58">
        <w:rPr>
          <w:i/>
          <w:lang w:bidi="en-US"/>
        </w:rPr>
        <w:t xml:space="preserve">For </w:t>
      </w:r>
      <w:r w:rsidR="00F0600A" w:rsidRPr="00D81C58">
        <w:rPr>
          <w:i/>
          <w:lang w:bidi="en-US"/>
        </w:rPr>
        <w:t>CAHs</w:t>
      </w:r>
    </w:p>
    <w:p w:rsidR="00355ACA" w:rsidRPr="00F0600A" w:rsidRDefault="00D81C58" w:rsidP="00F0600A">
      <w:pPr>
        <w:spacing w:after="0" w:line="240" w:lineRule="auto"/>
        <w:rPr>
          <w:lang w:bidi="en-US"/>
        </w:rPr>
      </w:pPr>
      <w:r>
        <w:rPr>
          <w:lang w:bidi="en-US"/>
        </w:rPr>
        <w:t>P</w:t>
      </w:r>
      <w:r w:rsidR="00F0600A">
        <w:rPr>
          <w:lang w:bidi="en-US"/>
        </w:rPr>
        <w:t xml:space="preserve">ayment adjustments will begin with the fiscal year 2015 cost reporting period. The </w:t>
      </w:r>
      <w:r w:rsidR="003D1111" w:rsidRPr="006B1A07">
        <w:t xml:space="preserve">payment adjustment </w:t>
      </w:r>
      <w:r w:rsidR="003D1111">
        <w:t xml:space="preserve">for CAHs </w:t>
      </w:r>
      <w:r w:rsidR="003A4537">
        <w:t>applies to</w:t>
      </w:r>
      <w:r w:rsidR="003D1111" w:rsidRPr="006B1A07">
        <w:t xml:space="preserve"> </w:t>
      </w:r>
      <w:r w:rsidR="003D1111">
        <w:t xml:space="preserve">their Medicare reimbursement </w:t>
      </w:r>
      <w:r w:rsidR="003D1111" w:rsidRPr="006B1A07">
        <w:t xml:space="preserve">for inpatient services during the cost reporting period in which they </w:t>
      </w:r>
      <w:r w:rsidR="003A4537">
        <w:t>did not</w:t>
      </w:r>
      <w:r w:rsidR="003D1111" w:rsidRPr="006B1A07">
        <w:t xml:space="preserve"> demonstrate meaningful use. If a CAH has not demonstrated meaningful use</w:t>
      </w:r>
      <w:r w:rsidR="00F6251E">
        <w:t xml:space="preserve">, </w:t>
      </w:r>
      <w:r w:rsidR="003D1111" w:rsidRPr="006B1A07">
        <w:t>its reimbursement would b</w:t>
      </w:r>
      <w:r w:rsidR="00A959C8">
        <w:t>e reduced from 101%</w:t>
      </w:r>
      <w:r w:rsidR="003D1111" w:rsidRPr="006B1A07">
        <w:t xml:space="preserve"> of its rea</w:t>
      </w:r>
      <w:r w:rsidR="00A959C8">
        <w:t>sonable costs to 100.66%.</w:t>
      </w:r>
    </w:p>
    <w:p w:rsidR="003C29E3" w:rsidRDefault="003C29E3" w:rsidP="00940F34">
      <w:pPr>
        <w:spacing w:after="0" w:line="240" w:lineRule="auto"/>
        <w:rPr>
          <w:b/>
          <w:lang w:bidi="en-US"/>
        </w:rPr>
      </w:pPr>
    </w:p>
    <w:p w:rsidR="00F0600A" w:rsidRPr="00A043C3" w:rsidRDefault="00F0600A" w:rsidP="00F0600A">
      <w:pPr>
        <w:spacing w:after="0" w:line="240" w:lineRule="auto"/>
        <w:rPr>
          <w:lang w:bidi="en-US"/>
        </w:rPr>
      </w:pPr>
      <w:r w:rsidRPr="00A043C3">
        <w:rPr>
          <w:bCs/>
          <w:lang w:bidi="en-US"/>
        </w:rPr>
        <w:t>A</w:t>
      </w:r>
      <w:r w:rsidRPr="00A043C3">
        <w:rPr>
          <w:lang w:bidi="en-US"/>
        </w:rPr>
        <w:t>ll</w:t>
      </w:r>
      <w:r w:rsidR="00414350">
        <w:rPr>
          <w:lang w:bidi="en-US"/>
        </w:rPr>
        <w:t xml:space="preserve"> Medicare </w:t>
      </w:r>
      <w:r w:rsidRPr="00A043C3">
        <w:rPr>
          <w:lang w:bidi="en-US"/>
        </w:rPr>
        <w:t xml:space="preserve">EPs, eligible hospitals, and CAHs </w:t>
      </w:r>
      <w:r w:rsidRPr="00A043C3">
        <w:rPr>
          <w:bCs/>
          <w:u w:val="single"/>
          <w:lang w:bidi="en-US"/>
        </w:rPr>
        <w:t>must</w:t>
      </w:r>
      <w:r w:rsidRPr="00A043C3">
        <w:rPr>
          <w:bCs/>
          <w:lang w:bidi="en-US"/>
        </w:rPr>
        <w:t xml:space="preserve"> </w:t>
      </w:r>
      <w:r w:rsidRPr="00A043C3">
        <w:rPr>
          <w:lang w:bidi="en-US"/>
        </w:rPr>
        <w:t>continue to demonstrate meaningful use every year to avoid payment adjustments in subsequent years.</w:t>
      </w:r>
    </w:p>
    <w:p w:rsidR="00F0600A" w:rsidRDefault="00F0600A" w:rsidP="00940F34">
      <w:pPr>
        <w:spacing w:after="0" w:line="240" w:lineRule="auto"/>
        <w:rPr>
          <w:b/>
          <w:lang w:bidi="en-US"/>
        </w:rPr>
      </w:pPr>
    </w:p>
    <w:p w:rsidR="00940F34" w:rsidRPr="00FD1F4A" w:rsidRDefault="00A043C3" w:rsidP="00940F34">
      <w:pPr>
        <w:spacing w:after="0" w:line="240" w:lineRule="auto"/>
        <w:rPr>
          <w:b/>
          <w:lang w:bidi="en-US"/>
        </w:rPr>
      </w:pPr>
      <w:r>
        <w:rPr>
          <w:b/>
          <w:lang w:bidi="en-US"/>
        </w:rPr>
        <w:t xml:space="preserve">Categories for </w:t>
      </w:r>
      <w:r w:rsidR="00940F34" w:rsidRPr="00FD1F4A">
        <w:rPr>
          <w:b/>
          <w:lang w:bidi="en-US"/>
        </w:rPr>
        <w:t xml:space="preserve">Hardship </w:t>
      </w:r>
      <w:r w:rsidR="00DD4779">
        <w:rPr>
          <w:b/>
          <w:lang w:bidi="en-US"/>
        </w:rPr>
        <w:t>Exceptions</w:t>
      </w:r>
    </w:p>
    <w:p w:rsidR="00844F82" w:rsidRDefault="00844F82" w:rsidP="00844F82">
      <w:pPr>
        <w:spacing w:after="0" w:line="240" w:lineRule="auto"/>
        <w:rPr>
          <w:lang w:bidi="en-US"/>
        </w:rPr>
      </w:pPr>
      <w:r>
        <w:rPr>
          <w:lang w:bidi="en-US"/>
        </w:rPr>
        <w:t xml:space="preserve">Under certain circumstances, hardship exceptions will be granted to EPs, eligible hospitals and CAHs. Through an application process, providers must demonstrate to CMS that those circumstances pose a significant barrier to achieving meaningful use. </w:t>
      </w:r>
    </w:p>
    <w:p w:rsidR="00844F82" w:rsidRDefault="00844F82" w:rsidP="00844F82">
      <w:pPr>
        <w:spacing w:after="0" w:line="240" w:lineRule="auto"/>
        <w:rPr>
          <w:lang w:bidi="en-US"/>
        </w:rPr>
      </w:pPr>
    </w:p>
    <w:p w:rsidR="00414350" w:rsidRDefault="00414350" w:rsidP="00F257FC">
      <w:pPr>
        <w:spacing w:after="0" w:line="240" w:lineRule="auto"/>
        <w:rPr>
          <w:lang w:bidi="en-US"/>
        </w:rPr>
      </w:pPr>
      <w:r>
        <w:rPr>
          <w:lang w:bidi="en-US"/>
        </w:rPr>
        <w:t xml:space="preserve">The categories for EPs to use to apply for hardship </w:t>
      </w:r>
      <w:r w:rsidR="001E5FCF">
        <w:rPr>
          <w:lang w:bidi="en-US"/>
        </w:rPr>
        <w:t>exemptions</w:t>
      </w:r>
      <w:r>
        <w:rPr>
          <w:lang w:bidi="en-US"/>
        </w:rPr>
        <w:t xml:space="preserve"> include </w:t>
      </w:r>
      <w:r w:rsidR="00844F82">
        <w:rPr>
          <w:lang w:bidi="en-US"/>
        </w:rPr>
        <w:t xml:space="preserve">infrastructure, newly practicing </w:t>
      </w:r>
      <w:r w:rsidR="001E5FCF">
        <w:rPr>
          <w:lang w:bidi="en-US"/>
        </w:rPr>
        <w:t>EPs</w:t>
      </w:r>
      <w:r w:rsidR="00844F82">
        <w:rPr>
          <w:lang w:bidi="en-US"/>
        </w:rPr>
        <w:t xml:space="preserve">, and unforeseen circumstances. EPs can also apply for exceptions based on their </w:t>
      </w:r>
      <w:r w:rsidR="00844F82" w:rsidRPr="00844F82">
        <w:rPr>
          <w:lang w:bidi="en-US"/>
        </w:rPr>
        <w:t xml:space="preserve">specialty or if they practice in multiple locations. </w:t>
      </w:r>
    </w:p>
    <w:p w:rsidR="00414350" w:rsidRDefault="00414350" w:rsidP="00F257FC">
      <w:pPr>
        <w:spacing w:after="0" w:line="240" w:lineRule="auto"/>
        <w:rPr>
          <w:lang w:bidi="en-US"/>
        </w:rPr>
      </w:pPr>
    </w:p>
    <w:p w:rsidR="00844F82" w:rsidRDefault="00414350" w:rsidP="00F257FC">
      <w:pPr>
        <w:spacing w:after="0" w:line="240" w:lineRule="auto"/>
        <w:rPr>
          <w:lang w:bidi="en-US"/>
        </w:rPr>
      </w:pPr>
      <w:r>
        <w:rPr>
          <w:lang w:bidi="en-US"/>
        </w:rPr>
        <w:t xml:space="preserve">The categories for eligible hospitals and CAHs to use to apply for hardship </w:t>
      </w:r>
      <w:r w:rsidR="001E5FCF">
        <w:rPr>
          <w:lang w:bidi="en-US"/>
        </w:rPr>
        <w:t>exemptions</w:t>
      </w:r>
      <w:r>
        <w:rPr>
          <w:lang w:bidi="en-US"/>
        </w:rPr>
        <w:t xml:space="preserve"> include infrastructure, </w:t>
      </w:r>
      <w:r w:rsidR="001E5FCF">
        <w:rPr>
          <w:lang w:bidi="en-US"/>
        </w:rPr>
        <w:t xml:space="preserve">new </w:t>
      </w:r>
      <w:r>
        <w:rPr>
          <w:lang w:bidi="en-US"/>
        </w:rPr>
        <w:t>CAHs</w:t>
      </w:r>
      <w:r w:rsidR="001E5FCF">
        <w:rPr>
          <w:lang w:bidi="en-US"/>
        </w:rPr>
        <w:t xml:space="preserve">, and unforeseen circumstances. </w:t>
      </w:r>
      <w:r w:rsidR="00844F82" w:rsidRPr="00844F82">
        <w:rPr>
          <w:lang w:bidi="en-US"/>
        </w:rPr>
        <w:t xml:space="preserve">View the CMS </w:t>
      </w:r>
      <w:proofErr w:type="spellStart"/>
      <w:r w:rsidR="00844F82" w:rsidRPr="00844F82">
        <w:rPr>
          <w:lang w:bidi="en-US"/>
        </w:rPr>
        <w:t>tipsheet</w:t>
      </w:r>
      <w:proofErr w:type="spellEnd"/>
      <w:r w:rsidR="00844F82" w:rsidRPr="00844F82">
        <w:rPr>
          <w:lang w:bidi="en-US"/>
        </w:rPr>
        <w:t xml:space="preserve"> on payment adjustments to read about the circums</w:t>
      </w:r>
      <w:r w:rsidR="00844F82">
        <w:rPr>
          <w:lang w:bidi="en-US"/>
        </w:rPr>
        <w:t>tances on the Stage 2 website:</w:t>
      </w:r>
    </w:p>
    <w:p w:rsidR="00844F82" w:rsidRPr="00844F82" w:rsidRDefault="00064A67" w:rsidP="00F257FC">
      <w:hyperlink r:id="rId7" w:history="1">
        <w:r w:rsidR="00844F82">
          <w:rPr>
            <w:rStyle w:val="Hyperlink"/>
          </w:rPr>
          <w:t>http://www.cms.gov/Regulations-and-Guidance/Legislat</w:t>
        </w:r>
        <w:bookmarkStart w:id="0" w:name="_GoBack"/>
        <w:bookmarkEnd w:id="0"/>
        <w:r w:rsidR="00844F82">
          <w:rPr>
            <w:rStyle w:val="Hyperlink"/>
          </w:rPr>
          <w:t>ion/EHRIncentivePrograms/Stage_2.html</w:t>
        </w:r>
      </w:hyperlink>
      <w:r w:rsidR="00F257FC">
        <w:t>.</w:t>
      </w:r>
    </w:p>
    <w:p w:rsidR="00940F34" w:rsidRPr="00550920" w:rsidRDefault="00940F34" w:rsidP="00940F34">
      <w:pPr>
        <w:spacing w:after="0" w:line="240" w:lineRule="auto"/>
        <w:rPr>
          <w:rFonts w:ascii="Calibri" w:eastAsia="Calibri" w:hAnsi="Calibri" w:cs="Calibri"/>
        </w:rPr>
      </w:pPr>
      <w:r w:rsidRPr="00637249">
        <w:rPr>
          <w:rFonts w:cs="Melior"/>
        </w:rPr>
        <w:t>Information on how to apply for a hardship exception will be posted on the CMS EHR Incentive Programs website</w:t>
      </w:r>
      <w:r w:rsidR="00844F82">
        <w:rPr>
          <w:rFonts w:cs="Melior"/>
        </w:rPr>
        <w:t xml:space="preserve"> </w:t>
      </w:r>
      <w:hyperlink r:id="rId8" w:history="1">
        <w:r w:rsidR="00844F82" w:rsidRPr="00746FC3">
          <w:rPr>
            <w:rStyle w:val="Hyperlink"/>
            <w:rFonts w:ascii="Calibri" w:eastAsia="Calibri" w:hAnsi="Calibri" w:cs="Calibri"/>
          </w:rPr>
          <w:t>www.cms.gov/EHRIncentivePrograms</w:t>
        </w:r>
      </w:hyperlink>
      <w:r w:rsidRPr="00637249">
        <w:rPr>
          <w:rFonts w:cs="Melior"/>
        </w:rPr>
        <w:t>.</w:t>
      </w:r>
    </w:p>
    <w:p w:rsidR="00470BC8" w:rsidRPr="00EB3995" w:rsidRDefault="00470BC8" w:rsidP="00445A1C">
      <w:pPr>
        <w:spacing w:after="0" w:line="240" w:lineRule="auto"/>
        <w:rPr>
          <w:rFonts w:ascii="Calibri" w:eastAsia="Calibri" w:hAnsi="Calibri" w:cs="Calibri"/>
        </w:rPr>
      </w:pPr>
    </w:p>
    <w:sectPr w:rsidR="00470BC8" w:rsidRPr="00EB3995" w:rsidSect="00D238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0F7"/>
    <w:multiLevelType w:val="hybridMultilevel"/>
    <w:tmpl w:val="6C7C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4C3"/>
    <w:multiLevelType w:val="hybridMultilevel"/>
    <w:tmpl w:val="9BA0D418"/>
    <w:lvl w:ilvl="0" w:tplc="2C6C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EA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C8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6B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6A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A2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CB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D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83D"/>
    <w:multiLevelType w:val="hybridMultilevel"/>
    <w:tmpl w:val="88D6EF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FC7765C"/>
    <w:multiLevelType w:val="hybridMultilevel"/>
    <w:tmpl w:val="10FCF9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49256CD"/>
    <w:multiLevelType w:val="hybridMultilevel"/>
    <w:tmpl w:val="DE6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0857"/>
    <w:multiLevelType w:val="hybridMultilevel"/>
    <w:tmpl w:val="6CD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A1FF7"/>
    <w:multiLevelType w:val="hybridMultilevel"/>
    <w:tmpl w:val="E168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5E3"/>
    <w:multiLevelType w:val="hybridMultilevel"/>
    <w:tmpl w:val="231C74BC"/>
    <w:lvl w:ilvl="0" w:tplc="D298B9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7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C3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4D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68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67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E0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63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1276"/>
    <w:multiLevelType w:val="hybridMultilevel"/>
    <w:tmpl w:val="F338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0A4E"/>
    <w:multiLevelType w:val="hybridMultilevel"/>
    <w:tmpl w:val="2372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A6350"/>
    <w:multiLevelType w:val="hybridMultilevel"/>
    <w:tmpl w:val="9C6C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3266E"/>
    <w:multiLevelType w:val="hybridMultilevel"/>
    <w:tmpl w:val="0AD0359A"/>
    <w:lvl w:ilvl="0" w:tplc="C93467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CB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CE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EC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7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25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4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EB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4D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E4DE7"/>
    <w:multiLevelType w:val="hybridMultilevel"/>
    <w:tmpl w:val="45F40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4F33A7"/>
    <w:multiLevelType w:val="hybridMultilevel"/>
    <w:tmpl w:val="89A88FB6"/>
    <w:lvl w:ilvl="0" w:tplc="AA52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5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C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4B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C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6B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C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C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AF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63959"/>
    <w:multiLevelType w:val="hybridMultilevel"/>
    <w:tmpl w:val="A4B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C590B"/>
    <w:multiLevelType w:val="hybridMultilevel"/>
    <w:tmpl w:val="6410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D8B"/>
    <w:multiLevelType w:val="hybridMultilevel"/>
    <w:tmpl w:val="4A6A4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75D3B"/>
    <w:multiLevelType w:val="hybridMultilevel"/>
    <w:tmpl w:val="BC0C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44CAE"/>
    <w:multiLevelType w:val="hybridMultilevel"/>
    <w:tmpl w:val="CF06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F5169"/>
    <w:multiLevelType w:val="hybridMultilevel"/>
    <w:tmpl w:val="2F12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45B2A">
      <w:numFmt w:val="bullet"/>
      <w:lvlText w:val="•"/>
      <w:lvlJc w:val="left"/>
      <w:pPr>
        <w:ind w:left="1440" w:hanging="360"/>
      </w:pPr>
      <w:rPr>
        <w:rFonts w:ascii="Calibri" w:eastAsia="MS PGothic" w:hAnsi="Calibri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07A3C"/>
    <w:multiLevelType w:val="hybridMultilevel"/>
    <w:tmpl w:val="1080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5CB3"/>
    <w:multiLevelType w:val="hybridMultilevel"/>
    <w:tmpl w:val="10B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34403"/>
    <w:multiLevelType w:val="hybridMultilevel"/>
    <w:tmpl w:val="B888F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C16A3E"/>
    <w:multiLevelType w:val="hybridMultilevel"/>
    <w:tmpl w:val="2904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D118C"/>
    <w:multiLevelType w:val="hybridMultilevel"/>
    <w:tmpl w:val="C11616A8"/>
    <w:lvl w:ilvl="0" w:tplc="AF9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27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A7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E3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C8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C7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8B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22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43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3"/>
  </w:num>
  <w:num w:numId="5">
    <w:abstractNumId w:val="2"/>
  </w:num>
  <w:num w:numId="6">
    <w:abstractNumId w:val="18"/>
  </w:num>
  <w:num w:numId="7">
    <w:abstractNumId w:val="15"/>
  </w:num>
  <w:num w:numId="8">
    <w:abstractNumId w:val="10"/>
  </w:num>
  <w:num w:numId="9">
    <w:abstractNumId w:val="17"/>
  </w:num>
  <w:num w:numId="10">
    <w:abstractNumId w:val="8"/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4"/>
  </w:num>
  <w:num w:numId="16">
    <w:abstractNumId w:val="14"/>
  </w:num>
  <w:num w:numId="17">
    <w:abstractNumId w:val="22"/>
  </w:num>
  <w:num w:numId="18">
    <w:abstractNumId w:val="24"/>
  </w:num>
  <w:num w:numId="19">
    <w:abstractNumId w:val="7"/>
  </w:num>
  <w:num w:numId="20">
    <w:abstractNumId w:val="1"/>
  </w:num>
  <w:num w:numId="21">
    <w:abstractNumId w:val="11"/>
  </w:num>
  <w:num w:numId="22">
    <w:abstractNumId w:val="12"/>
  </w:num>
  <w:num w:numId="23">
    <w:abstractNumId w:val="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A"/>
    <w:rsid w:val="0000554B"/>
    <w:rsid w:val="00020388"/>
    <w:rsid w:val="00026809"/>
    <w:rsid w:val="000330BE"/>
    <w:rsid w:val="00043607"/>
    <w:rsid w:val="00044683"/>
    <w:rsid w:val="00045C53"/>
    <w:rsid w:val="00046549"/>
    <w:rsid w:val="00051007"/>
    <w:rsid w:val="000516A2"/>
    <w:rsid w:val="00056A84"/>
    <w:rsid w:val="00064A67"/>
    <w:rsid w:val="00067602"/>
    <w:rsid w:val="0009581B"/>
    <w:rsid w:val="00096CCD"/>
    <w:rsid w:val="000A40DF"/>
    <w:rsid w:val="000A5BBD"/>
    <w:rsid w:val="000B0543"/>
    <w:rsid w:val="000B2D4F"/>
    <w:rsid w:val="000D5FB1"/>
    <w:rsid w:val="000E0ABA"/>
    <w:rsid w:val="000E7753"/>
    <w:rsid w:val="000F2E57"/>
    <w:rsid w:val="000F653F"/>
    <w:rsid w:val="00104821"/>
    <w:rsid w:val="00121313"/>
    <w:rsid w:val="00135DF5"/>
    <w:rsid w:val="00136E72"/>
    <w:rsid w:val="00137B02"/>
    <w:rsid w:val="00141875"/>
    <w:rsid w:val="00156F89"/>
    <w:rsid w:val="00162B5D"/>
    <w:rsid w:val="00175067"/>
    <w:rsid w:val="0018030E"/>
    <w:rsid w:val="001826D6"/>
    <w:rsid w:val="00196104"/>
    <w:rsid w:val="001A0C6B"/>
    <w:rsid w:val="001A2AFC"/>
    <w:rsid w:val="001A7258"/>
    <w:rsid w:val="001C0A71"/>
    <w:rsid w:val="001C39ED"/>
    <w:rsid w:val="001E5FCF"/>
    <w:rsid w:val="001F2568"/>
    <w:rsid w:val="00206DA5"/>
    <w:rsid w:val="00207CA8"/>
    <w:rsid w:val="002105E7"/>
    <w:rsid w:val="0021103E"/>
    <w:rsid w:val="00211BF6"/>
    <w:rsid w:val="002259D5"/>
    <w:rsid w:val="00226AD6"/>
    <w:rsid w:val="0025725D"/>
    <w:rsid w:val="00260BAA"/>
    <w:rsid w:val="0026320B"/>
    <w:rsid w:val="00282D63"/>
    <w:rsid w:val="002873BE"/>
    <w:rsid w:val="002A20E9"/>
    <w:rsid w:val="002B7C4F"/>
    <w:rsid w:val="002D5390"/>
    <w:rsid w:val="002D6310"/>
    <w:rsid w:val="002F24CD"/>
    <w:rsid w:val="002F28A8"/>
    <w:rsid w:val="002F3BBC"/>
    <w:rsid w:val="0030297F"/>
    <w:rsid w:val="00305482"/>
    <w:rsid w:val="00306E1C"/>
    <w:rsid w:val="00322153"/>
    <w:rsid w:val="003267E9"/>
    <w:rsid w:val="00330801"/>
    <w:rsid w:val="00334379"/>
    <w:rsid w:val="0035170F"/>
    <w:rsid w:val="00351A81"/>
    <w:rsid w:val="00351AA0"/>
    <w:rsid w:val="00354231"/>
    <w:rsid w:val="00355ACA"/>
    <w:rsid w:val="00360143"/>
    <w:rsid w:val="00362F50"/>
    <w:rsid w:val="003643AA"/>
    <w:rsid w:val="003A4059"/>
    <w:rsid w:val="003A4537"/>
    <w:rsid w:val="003A598B"/>
    <w:rsid w:val="003B368A"/>
    <w:rsid w:val="003B54BD"/>
    <w:rsid w:val="003C29E3"/>
    <w:rsid w:val="003D1111"/>
    <w:rsid w:val="003D3AF3"/>
    <w:rsid w:val="003D4F42"/>
    <w:rsid w:val="003D6743"/>
    <w:rsid w:val="003E1E32"/>
    <w:rsid w:val="003F3D01"/>
    <w:rsid w:val="00404901"/>
    <w:rsid w:val="00414350"/>
    <w:rsid w:val="004202E8"/>
    <w:rsid w:val="00436AA8"/>
    <w:rsid w:val="00441E26"/>
    <w:rsid w:val="004432AE"/>
    <w:rsid w:val="00444369"/>
    <w:rsid w:val="00445A1C"/>
    <w:rsid w:val="00447380"/>
    <w:rsid w:val="0045154C"/>
    <w:rsid w:val="00464D42"/>
    <w:rsid w:val="00470BC8"/>
    <w:rsid w:val="00474656"/>
    <w:rsid w:val="00477EE4"/>
    <w:rsid w:val="004911E3"/>
    <w:rsid w:val="0049416F"/>
    <w:rsid w:val="004955A9"/>
    <w:rsid w:val="004966F4"/>
    <w:rsid w:val="004970E2"/>
    <w:rsid w:val="004A5268"/>
    <w:rsid w:val="004C039D"/>
    <w:rsid w:val="004C6596"/>
    <w:rsid w:val="004D0106"/>
    <w:rsid w:val="004E382A"/>
    <w:rsid w:val="004E49FF"/>
    <w:rsid w:val="004F4D27"/>
    <w:rsid w:val="00501C85"/>
    <w:rsid w:val="0051321E"/>
    <w:rsid w:val="00550492"/>
    <w:rsid w:val="00550920"/>
    <w:rsid w:val="00551395"/>
    <w:rsid w:val="00554DD5"/>
    <w:rsid w:val="00555A3C"/>
    <w:rsid w:val="00555A99"/>
    <w:rsid w:val="00556378"/>
    <w:rsid w:val="00560847"/>
    <w:rsid w:val="0056597C"/>
    <w:rsid w:val="005901D5"/>
    <w:rsid w:val="00593577"/>
    <w:rsid w:val="00593C6F"/>
    <w:rsid w:val="005A6DE5"/>
    <w:rsid w:val="005B3773"/>
    <w:rsid w:val="005C0EAC"/>
    <w:rsid w:val="005C389E"/>
    <w:rsid w:val="005C4C70"/>
    <w:rsid w:val="005C50C3"/>
    <w:rsid w:val="005D6E38"/>
    <w:rsid w:val="005E3465"/>
    <w:rsid w:val="005E5277"/>
    <w:rsid w:val="005E591D"/>
    <w:rsid w:val="005F37F6"/>
    <w:rsid w:val="0061576D"/>
    <w:rsid w:val="0062662A"/>
    <w:rsid w:val="0062668C"/>
    <w:rsid w:val="00626A65"/>
    <w:rsid w:val="00627866"/>
    <w:rsid w:val="006406E4"/>
    <w:rsid w:val="0064301F"/>
    <w:rsid w:val="00644D45"/>
    <w:rsid w:val="006524D2"/>
    <w:rsid w:val="00656653"/>
    <w:rsid w:val="006618C6"/>
    <w:rsid w:val="00687F85"/>
    <w:rsid w:val="006933D1"/>
    <w:rsid w:val="0069671F"/>
    <w:rsid w:val="006A3098"/>
    <w:rsid w:val="006B19C7"/>
    <w:rsid w:val="006B3730"/>
    <w:rsid w:val="006C2B33"/>
    <w:rsid w:val="006C2EA7"/>
    <w:rsid w:val="006C42F1"/>
    <w:rsid w:val="006C7109"/>
    <w:rsid w:val="006D272B"/>
    <w:rsid w:val="006D76EB"/>
    <w:rsid w:val="006D783F"/>
    <w:rsid w:val="006E2EC2"/>
    <w:rsid w:val="006E57CE"/>
    <w:rsid w:val="007050C4"/>
    <w:rsid w:val="00721201"/>
    <w:rsid w:val="00724198"/>
    <w:rsid w:val="00725FA5"/>
    <w:rsid w:val="007354EB"/>
    <w:rsid w:val="00740E21"/>
    <w:rsid w:val="00741690"/>
    <w:rsid w:val="007472A6"/>
    <w:rsid w:val="00747F7F"/>
    <w:rsid w:val="007533AB"/>
    <w:rsid w:val="00761760"/>
    <w:rsid w:val="007715B5"/>
    <w:rsid w:val="00776121"/>
    <w:rsid w:val="0078093A"/>
    <w:rsid w:val="0078303B"/>
    <w:rsid w:val="00784993"/>
    <w:rsid w:val="00796912"/>
    <w:rsid w:val="007A3727"/>
    <w:rsid w:val="007B08B4"/>
    <w:rsid w:val="007B4E52"/>
    <w:rsid w:val="007B5664"/>
    <w:rsid w:val="007C7C65"/>
    <w:rsid w:val="007E0486"/>
    <w:rsid w:val="007E22D7"/>
    <w:rsid w:val="007E7FEB"/>
    <w:rsid w:val="007F425B"/>
    <w:rsid w:val="007F63B4"/>
    <w:rsid w:val="008107B8"/>
    <w:rsid w:val="00817E2F"/>
    <w:rsid w:val="008206AF"/>
    <w:rsid w:val="00830139"/>
    <w:rsid w:val="00836104"/>
    <w:rsid w:val="00844F82"/>
    <w:rsid w:val="0085102B"/>
    <w:rsid w:val="00855342"/>
    <w:rsid w:val="00857DCD"/>
    <w:rsid w:val="00865AAC"/>
    <w:rsid w:val="0087391E"/>
    <w:rsid w:val="00876360"/>
    <w:rsid w:val="008932AB"/>
    <w:rsid w:val="00896556"/>
    <w:rsid w:val="008B3BC5"/>
    <w:rsid w:val="008C7B9B"/>
    <w:rsid w:val="008D68B4"/>
    <w:rsid w:val="008F53A6"/>
    <w:rsid w:val="00910786"/>
    <w:rsid w:val="00922C02"/>
    <w:rsid w:val="0092774A"/>
    <w:rsid w:val="00930203"/>
    <w:rsid w:val="00934539"/>
    <w:rsid w:val="00940F34"/>
    <w:rsid w:val="0098155F"/>
    <w:rsid w:val="009855C1"/>
    <w:rsid w:val="009968C3"/>
    <w:rsid w:val="009C31AC"/>
    <w:rsid w:val="009C6C88"/>
    <w:rsid w:val="009E1B93"/>
    <w:rsid w:val="009E464D"/>
    <w:rsid w:val="00A043C3"/>
    <w:rsid w:val="00A076AD"/>
    <w:rsid w:val="00A13FF6"/>
    <w:rsid w:val="00A15869"/>
    <w:rsid w:val="00A23164"/>
    <w:rsid w:val="00A25600"/>
    <w:rsid w:val="00A31AAA"/>
    <w:rsid w:val="00A32E92"/>
    <w:rsid w:val="00A347F3"/>
    <w:rsid w:val="00A452A8"/>
    <w:rsid w:val="00A545AD"/>
    <w:rsid w:val="00A56F8B"/>
    <w:rsid w:val="00A66D65"/>
    <w:rsid w:val="00A75B01"/>
    <w:rsid w:val="00A767AE"/>
    <w:rsid w:val="00A863D7"/>
    <w:rsid w:val="00A959C8"/>
    <w:rsid w:val="00AA534E"/>
    <w:rsid w:val="00AA7399"/>
    <w:rsid w:val="00AB4A76"/>
    <w:rsid w:val="00AC44F9"/>
    <w:rsid w:val="00AC5580"/>
    <w:rsid w:val="00AC6459"/>
    <w:rsid w:val="00AC7A32"/>
    <w:rsid w:val="00AD6E4B"/>
    <w:rsid w:val="00AE3873"/>
    <w:rsid w:val="00AE48AA"/>
    <w:rsid w:val="00B05B3A"/>
    <w:rsid w:val="00B06A2A"/>
    <w:rsid w:val="00B26021"/>
    <w:rsid w:val="00B327D7"/>
    <w:rsid w:val="00B43D18"/>
    <w:rsid w:val="00B55C41"/>
    <w:rsid w:val="00B5752A"/>
    <w:rsid w:val="00B60F4F"/>
    <w:rsid w:val="00B61FEB"/>
    <w:rsid w:val="00B86B41"/>
    <w:rsid w:val="00B87AF8"/>
    <w:rsid w:val="00B93DA4"/>
    <w:rsid w:val="00B95400"/>
    <w:rsid w:val="00B96F5D"/>
    <w:rsid w:val="00BB4802"/>
    <w:rsid w:val="00BD1A76"/>
    <w:rsid w:val="00BD480F"/>
    <w:rsid w:val="00BD7302"/>
    <w:rsid w:val="00BE62FA"/>
    <w:rsid w:val="00BE6E2E"/>
    <w:rsid w:val="00BF0545"/>
    <w:rsid w:val="00C0116E"/>
    <w:rsid w:val="00C06A1F"/>
    <w:rsid w:val="00C32211"/>
    <w:rsid w:val="00C41D5A"/>
    <w:rsid w:val="00C4651E"/>
    <w:rsid w:val="00C766C2"/>
    <w:rsid w:val="00C80809"/>
    <w:rsid w:val="00C82370"/>
    <w:rsid w:val="00C87440"/>
    <w:rsid w:val="00C87476"/>
    <w:rsid w:val="00C923BA"/>
    <w:rsid w:val="00CC5CA5"/>
    <w:rsid w:val="00CE4919"/>
    <w:rsid w:val="00CE6593"/>
    <w:rsid w:val="00CF4C67"/>
    <w:rsid w:val="00D23848"/>
    <w:rsid w:val="00D4007D"/>
    <w:rsid w:val="00D53AED"/>
    <w:rsid w:val="00D60394"/>
    <w:rsid w:val="00D6179B"/>
    <w:rsid w:val="00D73464"/>
    <w:rsid w:val="00D80891"/>
    <w:rsid w:val="00D81842"/>
    <w:rsid w:val="00D81C58"/>
    <w:rsid w:val="00D92DD0"/>
    <w:rsid w:val="00D95FA3"/>
    <w:rsid w:val="00DA1331"/>
    <w:rsid w:val="00DA267F"/>
    <w:rsid w:val="00DA6DAE"/>
    <w:rsid w:val="00DB5B30"/>
    <w:rsid w:val="00DC2255"/>
    <w:rsid w:val="00DC5186"/>
    <w:rsid w:val="00DD4779"/>
    <w:rsid w:val="00DE2A48"/>
    <w:rsid w:val="00DF3D85"/>
    <w:rsid w:val="00E13684"/>
    <w:rsid w:val="00E27E1B"/>
    <w:rsid w:val="00E36FA5"/>
    <w:rsid w:val="00E43837"/>
    <w:rsid w:val="00E46348"/>
    <w:rsid w:val="00E52E0C"/>
    <w:rsid w:val="00E641F6"/>
    <w:rsid w:val="00E667DE"/>
    <w:rsid w:val="00E71545"/>
    <w:rsid w:val="00E80928"/>
    <w:rsid w:val="00E86EAD"/>
    <w:rsid w:val="00E905EF"/>
    <w:rsid w:val="00E96DDF"/>
    <w:rsid w:val="00E9750C"/>
    <w:rsid w:val="00EA40BE"/>
    <w:rsid w:val="00EB0FDB"/>
    <w:rsid w:val="00EB3995"/>
    <w:rsid w:val="00EB5694"/>
    <w:rsid w:val="00EC181B"/>
    <w:rsid w:val="00EC544C"/>
    <w:rsid w:val="00ED0C4B"/>
    <w:rsid w:val="00ED7F20"/>
    <w:rsid w:val="00EE1FE3"/>
    <w:rsid w:val="00EE457C"/>
    <w:rsid w:val="00EF0954"/>
    <w:rsid w:val="00F01C81"/>
    <w:rsid w:val="00F0600A"/>
    <w:rsid w:val="00F20EBC"/>
    <w:rsid w:val="00F21DC6"/>
    <w:rsid w:val="00F257FC"/>
    <w:rsid w:val="00F426DB"/>
    <w:rsid w:val="00F47CEB"/>
    <w:rsid w:val="00F55B87"/>
    <w:rsid w:val="00F56F10"/>
    <w:rsid w:val="00F6251E"/>
    <w:rsid w:val="00F72790"/>
    <w:rsid w:val="00F72D62"/>
    <w:rsid w:val="00F76D31"/>
    <w:rsid w:val="00F8397E"/>
    <w:rsid w:val="00F939D7"/>
    <w:rsid w:val="00FA594A"/>
    <w:rsid w:val="00FD44A4"/>
    <w:rsid w:val="00FD6185"/>
    <w:rsid w:val="00FE100E"/>
    <w:rsid w:val="00FE729E"/>
    <w:rsid w:val="00FE795E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A6"/>
    <w:pPr>
      <w:spacing w:after="200" w:line="276" w:lineRule="auto"/>
      <w:ind w:left="0" w:firstLine="0"/>
      <w:jc w:val="left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52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4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08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397E"/>
    <w:pPr>
      <w:ind w:left="0" w:firstLine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52A8"/>
    <w:rPr>
      <w:rFonts w:ascii="Times New Roman" w:hAnsi="Times New Roman" w:cs="Times New Roman"/>
      <w:b/>
      <w:bCs/>
      <w:sz w:val="36"/>
      <w:szCs w:val="36"/>
    </w:rPr>
  </w:style>
  <w:style w:type="character" w:customStyle="1" w:styleId="email-title">
    <w:name w:val="email-title"/>
    <w:basedOn w:val="DefaultParagraphFont"/>
    <w:rsid w:val="00A452A8"/>
  </w:style>
  <w:style w:type="character" w:styleId="Strong">
    <w:name w:val="Strong"/>
    <w:basedOn w:val="DefaultParagraphFont"/>
    <w:uiPriority w:val="22"/>
    <w:qFormat/>
    <w:rsid w:val="00FF736E"/>
    <w:rPr>
      <w:b/>
      <w:bCs/>
    </w:rPr>
  </w:style>
  <w:style w:type="paragraph" w:customStyle="1" w:styleId="section1">
    <w:name w:val="section1"/>
    <w:basedOn w:val="Normal"/>
    <w:uiPriority w:val="99"/>
    <w:rsid w:val="002259D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2259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5C53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A6"/>
    <w:pPr>
      <w:spacing w:after="200" w:line="276" w:lineRule="auto"/>
      <w:ind w:left="0" w:firstLine="0"/>
      <w:jc w:val="left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52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4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08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397E"/>
    <w:pPr>
      <w:ind w:left="0" w:firstLine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52A8"/>
    <w:rPr>
      <w:rFonts w:ascii="Times New Roman" w:hAnsi="Times New Roman" w:cs="Times New Roman"/>
      <w:b/>
      <w:bCs/>
      <w:sz w:val="36"/>
      <w:szCs w:val="36"/>
    </w:rPr>
  </w:style>
  <w:style w:type="character" w:customStyle="1" w:styleId="email-title">
    <w:name w:val="email-title"/>
    <w:basedOn w:val="DefaultParagraphFont"/>
    <w:rsid w:val="00A452A8"/>
  </w:style>
  <w:style w:type="character" w:styleId="Strong">
    <w:name w:val="Strong"/>
    <w:basedOn w:val="DefaultParagraphFont"/>
    <w:uiPriority w:val="22"/>
    <w:qFormat/>
    <w:rsid w:val="00FF736E"/>
    <w:rPr>
      <w:b/>
      <w:bCs/>
    </w:rPr>
  </w:style>
  <w:style w:type="paragraph" w:customStyle="1" w:styleId="section1">
    <w:name w:val="section1"/>
    <w:basedOn w:val="Normal"/>
    <w:uiPriority w:val="99"/>
    <w:rsid w:val="002259D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2259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5C53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688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80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2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34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89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948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60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EHRIncentiveProgram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s.gov/Regulations-and-Guidance/Legislation/EHRIncentivePrograms/stage_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EC15-1D54-4772-9C69-3DF1C50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Ketchum</dc:creator>
  <cp:lastModifiedBy>Chelsea Skovgaard</cp:lastModifiedBy>
  <cp:revision>2</cp:revision>
  <cp:lastPrinted>2012-08-23T14:36:00Z</cp:lastPrinted>
  <dcterms:created xsi:type="dcterms:W3CDTF">2013-03-25T18:13:00Z</dcterms:created>
  <dcterms:modified xsi:type="dcterms:W3CDTF">2013-03-25T18:13:00Z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-1843977269</vt:i4>
  </property>
  <property fmtid="{D5CDD505-2E9C-101B-9397-08002B2CF9AE}" pid="4" name="_EmailSubject">
    <vt:lpwstr>CMS Region VIII Frontier Focus - Electronic Health Record Incentive Program Drop-In Articles</vt:lpwstr>
  </property>
  <property fmtid="{D5CDD505-2E9C-101B-9397-08002B2CF9AE}" pid="5" name="_AuthorEmail">
    <vt:lpwstr>FrontierFocus@cms.hhs.gov</vt:lpwstr>
  </property>
  <property fmtid="{D5CDD505-2E9C-101B-9397-08002B2CF9AE}" pid="6" name="_AuthorEmailDisplayName">
    <vt:lpwstr>CMS Frontier Focus</vt:lpwstr>
  </property>
  <property fmtid="{D5CDD505-2E9C-101B-9397-08002B2CF9AE}" pid="7" name="_ReviewingToolsShownOnce">
    <vt:lpwstr/>
  </property>
</Properties>
</file>