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4B" w:rsidRPr="0011714B" w:rsidRDefault="00C012CB" w:rsidP="00C012CB">
      <w:pPr>
        <w:spacing w:after="0" w:line="240" w:lineRule="auto"/>
        <w:rPr>
          <w:rFonts w:cstheme="minorHAnsi"/>
          <w:b/>
        </w:rPr>
      </w:pPr>
      <w:bookmarkStart w:id="0" w:name="_GoBack"/>
      <w:bookmarkEnd w:id="0"/>
      <w:r w:rsidRPr="00C012CB">
        <w:rPr>
          <w:rFonts w:cstheme="minorHAnsi"/>
          <w:b/>
        </w:rPr>
        <w:t>When Do I Start</w:t>
      </w:r>
      <w:r w:rsidR="005C7316">
        <w:rPr>
          <w:rFonts w:cstheme="minorHAnsi"/>
          <w:b/>
        </w:rPr>
        <w:t xml:space="preserve"> </w:t>
      </w:r>
      <w:r w:rsidR="00663FA7">
        <w:rPr>
          <w:rFonts w:cstheme="minorHAnsi"/>
          <w:b/>
        </w:rPr>
        <w:t>Stage 2 of Meaningful Use?</w:t>
      </w:r>
    </w:p>
    <w:p w:rsidR="00C429BE" w:rsidRPr="00C429BE" w:rsidRDefault="00C429BE" w:rsidP="00B51092">
      <w:pPr>
        <w:spacing w:after="0" w:line="240" w:lineRule="auto"/>
        <w:rPr>
          <w:rFonts w:cstheme="minorHAnsi"/>
        </w:rPr>
      </w:pPr>
      <w:r w:rsidRPr="00C429BE">
        <w:rPr>
          <w:rFonts w:cstheme="minorHAnsi"/>
        </w:rPr>
        <w:t>On August 23, 2012, the Centers for Medicare &amp; Medicaid Services (CMS) published the final rule for Stage 2 of the Medicare and Medicaid Electronic Health Record (EHR) Incentive Programs. The rule provides new criteria that eligible professionals (EPs), eligible hospitals, and critical access hospitals (CAHs) must meet to successfully participate in the EHR Incentive Programs.</w:t>
      </w:r>
    </w:p>
    <w:p w:rsidR="00C429BE" w:rsidRDefault="00C429BE" w:rsidP="00C012CB">
      <w:pPr>
        <w:spacing w:after="0" w:line="240" w:lineRule="auto"/>
        <w:rPr>
          <w:rFonts w:cstheme="minorHAnsi"/>
          <w:b/>
        </w:rPr>
      </w:pPr>
    </w:p>
    <w:p w:rsidR="0011714B" w:rsidRPr="0011714B" w:rsidRDefault="0011714B" w:rsidP="00C012CB">
      <w:pPr>
        <w:spacing w:after="0" w:line="240" w:lineRule="auto"/>
        <w:rPr>
          <w:rFonts w:cstheme="minorHAnsi"/>
          <w:b/>
        </w:rPr>
      </w:pPr>
      <w:r w:rsidRPr="0011714B">
        <w:rPr>
          <w:rFonts w:cstheme="minorHAnsi"/>
          <w:b/>
        </w:rPr>
        <w:t>Stage 2 Timeline</w:t>
      </w:r>
    </w:p>
    <w:p w:rsidR="009433E8" w:rsidRDefault="005C7316" w:rsidP="009433E8">
      <w:pPr>
        <w:spacing w:after="0" w:line="240" w:lineRule="auto"/>
        <w:rPr>
          <w:rFonts w:cstheme="minorHAnsi"/>
        </w:rPr>
      </w:pPr>
      <w:r w:rsidRPr="005C7316">
        <w:rPr>
          <w:rFonts w:cstheme="minorHAnsi"/>
        </w:rPr>
        <w:t xml:space="preserve">In the Stage 1 meaningful use regulations, CMS established a timeline that required providers to progress to Stage 2 criteria </w:t>
      </w:r>
      <w:r w:rsidR="006B1484">
        <w:rPr>
          <w:rFonts w:cstheme="minorHAnsi"/>
        </w:rPr>
        <w:t>following</w:t>
      </w:r>
      <w:r w:rsidRPr="005C7316">
        <w:rPr>
          <w:rFonts w:cstheme="minorHAnsi"/>
        </w:rPr>
        <w:t xml:space="preserve"> two program years under the Stage 1 criteria. This original timeline would have required Medicare providers who first demonstrated meaningful use in 2011 to meet Stage 2 criteria in 2013. However,</w:t>
      </w:r>
      <w:r w:rsidR="0011714B">
        <w:rPr>
          <w:rFonts w:cstheme="minorHAnsi"/>
        </w:rPr>
        <w:t xml:space="preserve"> CMS</w:t>
      </w:r>
      <w:r w:rsidRPr="005C7316">
        <w:rPr>
          <w:rFonts w:cstheme="minorHAnsi"/>
        </w:rPr>
        <w:t xml:space="preserve"> delayed </w:t>
      </w:r>
      <w:r w:rsidR="0011714B">
        <w:rPr>
          <w:rFonts w:cstheme="minorHAnsi"/>
        </w:rPr>
        <w:t xml:space="preserve">the onset of Stage 2 </w:t>
      </w:r>
      <w:r w:rsidR="006B1484">
        <w:rPr>
          <w:rFonts w:cstheme="minorHAnsi"/>
        </w:rPr>
        <w:t>requirements</w:t>
      </w:r>
      <w:r w:rsidR="00965086">
        <w:rPr>
          <w:rFonts w:cstheme="minorHAnsi"/>
        </w:rPr>
        <w:t xml:space="preserve">. Now, </w:t>
      </w:r>
      <w:r w:rsidR="0011714B">
        <w:rPr>
          <w:rFonts w:cstheme="minorHAnsi"/>
        </w:rPr>
        <w:t>t</w:t>
      </w:r>
      <w:r w:rsidRPr="005C7316">
        <w:rPr>
          <w:rFonts w:cstheme="minorHAnsi"/>
        </w:rPr>
        <w:t xml:space="preserve">he earliest that Stage 2 </w:t>
      </w:r>
      <w:r w:rsidR="0011714B">
        <w:rPr>
          <w:rFonts w:cstheme="minorHAnsi"/>
        </w:rPr>
        <w:t>will be effective is</w:t>
      </w:r>
      <w:r w:rsidRPr="005C7316">
        <w:rPr>
          <w:rFonts w:cstheme="minorHAnsi"/>
        </w:rPr>
        <w:t xml:space="preserve"> fiscal year 2014 for eligible hospitals and CAHs</w:t>
      </w:r>
      <w:r w:rsidR="00DC3DDC">
        <w:rPr>
          <w:rFonts w:cstheme="minorHAnsi"/>
        </w:rPr>
        <w:t xml:space="preserve"> or calendar year 2014 for EPs.</w:t>
      </w:r>
    </w:p>
    <w:p w:rsidR="009433E8" w:rsidRDefault="009433E8" w:rsidP="009433E8">
      <w:pPr>
        <w:spacing w:after="0" w:line="240" w:lineRule="auto"/>
        <w:rPr>
          <w:rFonts w:cstheme="minorHAnsi"/>
        </w:rPr>
      </w:pPr>
    </w:p>
    <w:p w:rsidR="005C7316" w:rsidRPr="00DC3DDC" w:rsidRDefault="009433E8" w:rsidP="00C012CB">
      <w:pPr>
        <w:spacing w:after="0" w:line="240" w:lineRule="auto"/>
        <w:rPr>
          <w:rFonts w:cstheme="minorHAnsi"/>
        </w:rPr>
      </w:pPr>
      <w:r w:rsidRPr="005C7316">
        <w:rPr>
          <w:rFonts w:cstheme="minorHAnsi"/>
        </w:rPr>
        <w:t xml:space="preserve">The table </w:t>
      </w:r>
      <w:r>
        <w:rPr>
          <w:rFonts w:cstheme="minorHAnsi"/>
        </w:rPr>
        <w:t>below</w:t>
      </w:r>
      <w:r w:rsidRPr="005C7316">
        <w:rPr>
          <w:rFonts w:cstheme="minorHAnsi"/>
        </w:rPr>
        <w:t xml:space="preserve"> illustrates the progression of meaningful use stages </w:t>
      </w:r>
      <w:r w:rsidR="00663FA7">
        <w:rPr>
          <w:rFonts w:cstheme="minorHAnsi"/>
        </w:rPr>
        <w:t>based on</w:t>
      </w:r>
      <w:r>
        <w:rPr>
          <w:rFonts w:cstheme="minorHAnsi"/>
        </w:rPr>
        <w:t xml:space="preserve"> the year</w:t>
      </w:r>
      <w:r w:rsidRPr="005C7316">
        <w:rPr>
          <w:rFonts w:cstheme="minorHAnsi"/>
        </w:rPr>
        <w:t xml:space="preserve"> a Medicare provider begins participation in the program.</w:t>
      </w:r>
      <w:r w:rsidRPr="009433E8">
        <w:rPr>
          <w:rFonts w:cstheme="minorHAnsi"/>
        </w:rPr>
        <w:t xml:space="preserve"> Note that providers who were early demonstrators of meaningful use in 2011 will meet three consecutive years of meaningful use under the Stage 1 criteria before advancing to the Stage 2 criteria in 2014. All other providers would meet two years of meaningful use under the Stage 1 criteria before advancing to the Stage</w:t>
      </w:r>
      <w:r>
        <w:rPr>
          <w:rFonts w:cstheme="minorHAnsi"/>
        </w:rPr>
        <w:t xml:space="preserve"> 2 criteria in their third year.</w:t>
      </w:r>
    </w:p>
    <w:p w:rsidR="009433E8" w:rsidRPr="00DC3DDC" w:rsidRDefault="009433E8" w:rsidP="00C012CB">
      <w:pPr>
        <w:spacing w:after="0" w:line="240" w:lineRule="auto"/>
        <w:rPr>
          <w:rFonts w:cstheme="minorHAnsi"/>
        </w:rPr>
      </w:pPr>
    </w:p>
    <w:tbl>
      <w:tblPr>
        <w:tblStyle w:val="TableGrid"/>
        <w:tblpPr w:leftFromText="187" w:rightFromText="187" w:vertAnchor="text" w:horzAnchor="page" w:tblpX="1571" w:tblpY="1"/>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B8DAF2"/>
        <w:tblLook w:val="04A0" w:firstRow="1" w:lastRow="0" w:firstColumn="1" w:lastColumn="0" w:noHBand="0" w:noVBand="1"/>
      </w:tblPr>
      <w:tblGrid>
        <w:gridCol w:w="1037"/>
        <w:gridCol w:w="742"/>
        <w:gridCol w:w="741"/>
        <w:gridCol w:w="741"/>
        <w:gridCol w:w="741"/>
        <w:gridCol w:w="741"/>
        <w:gridCol w:w="741"/>
        <w:gridCol w:w="741"/>
        <w:gridCol w:w="741"/>
        <w:gridCol w:w="741"/>
        <w:gridCol w:w="741"/>
        <w:gridCol w:w="1128"/>
      </w:tblGrid>
      <w:tr w:rsidR="005C7316" w:rsidRPr="00701718" w:rsidTr="00C429BE">
        <w:trPr>
          <w:cantSplit/>
          <w:trHeight w:val="682"/>
        </w:trPr>
        <w:tc>
          <w:tcPr>
            <w:tcW w:w="541" w:type="pct"/>
            <w:vMerge w:val="restart"/>
            <w:shd w:val="clear" w:color="auto" w:fill="002D6F"/>
            <w:vAlign w:val="center"/>
          </w:tcPr>
          <w:p w:rsidR="005C7316" w:rsidRPr="00974C3D" w:rsidRDefault="005C7316" w:rsidP="00C429BE">
            <w:pPr>
              <w:jc w:val="center"/>
              <w:rPr>
                <w:rFonts w:ascii="Century Gothic" w:eastAsia="Arial Unicode MS" w:hAnsi="Century Gothic"/>
                <w:b/>
              </w:rPr>
            </w:pPr>
            <w:r w:rsidRPr="00974C3D">
              <w:rPr>
                <w:rFonts w:ascii="Century Gothic" w:eastAsia="Arial Unicode MS" w:hAnsi="Century Gothic"/>
                <w:b/>
              </w:rPr>
              <w:t>1</w:t>
            </w:r>
            <w:r w:rsidRPr="00974C3D">
              <w:rPr>
                <w:rFonts w:ascii="Century Gothic" w:eastAsia="Arial Unicode MS" w:hAnsi="Century Gothic"/>
                <w:b/>
                <w:vertAlign w:val="superscript"/>
              </w:rPr>
              <w:t>st</w:t>
            </w:r>
            <w:r w:rsidRPr="00974C3D">
              <w:rPr>
                <w:rFonts w:ascii="Century Gothic" w:eastAsia="Arial Unicode MS" w:hAnsi="Century Gothic"/>
                <w:b/>
              </w:rPr>
              <w:t xml:space="preserve"> Year</w:t>
            </w:r>
          </w:p>
        </w:tc>
        <w:tc>
          <w:tcPr>
            <w:tcW w:w="4459" w:type="pct"/>
            <w:gridSpan w:val="11"/>
            <w:shd w:val="clear" w:color="auto" w:fill="002D6F"/>
            <w:vAlign w:val="center"/>
          </w:tcPr>
          <w:p w:rsidR="005C7316" w:rsidRPr="00974C3D" w:rsidRDefault="005C7316" w:rsidP="00C429BE">
            <w:pPr>
              <w:jc w:val="center"/>
              <w:rPr>
                <w:rFonts w:ascii="Century Gothic" w:eastAsia="Arial Unicode MS" w:hAnsi="Century Gothic" w:cstheme="minorHAnsi"/>
                <w:b/>
              </w:rPr>
            </w:pPr>
            <w:r w:rsidRPr="00974C3D">
              <w:rPr>
                <w:rFonts w:ascii="Century Gothic" w:eastAsia="Arial Unicode MS" w:hAnsi="Century Gothic" w:cstheme="minorHAnsi"/>
                <w:b/>
              </w:rPr>
              <w:t>Stage of Meaningful Use</w:t>
            </w:r>
          </w:p>
        </w:tc>
      </w:tr>
      <w:tr w:rsidR="005C7316" w:rsidRPr="00701718" w:rsidTr="00C429BE">
        <w:trPr>
          <w:cantSplit/>
          <w:trHeight w:val="682"/>
        </w:trPr>
        <w:tc>
          <w:tcPr>
            <w:tcW w:w="541" w:type="pct"/>
            <w:vMerge/>
            <w:shd w:val="clear" w:color="auto" w:fill="002D6F"/>
            <w:vAlign w:val="center"/>
          </w:tcPr>
          <w:p w:rsidR="005C7316" w:rsidRPr="00974C3D" w:rsidRDefault="005C7316" w:rsidP="00C429BE">
            <w:pPr>
              <w:jc w:val="center"/>
              <w:rPr>
                <w:rFonts w:ascii="Century Gothic" w:eastAsia="Arial Unicode MS" w:hAnsi="Century Gothic"/>
                <w:b/>
              </w:rPr>
            </w:pPr>
          </w:p>
        </w:tc>
        <w:tc>
          <w:tcPr>
            <w:tcW w:w="387" w:type="pct"/>
            <w:shd w:val="clear" w:color="auto" w:fill="002D6F"/>
            <w:vAlign w:val="center"/>
          </w:tcPr>
          <w:p w:rsidR="005C7316" w:rsidRPr="00974C3D" w:rsidRDefault="005C7316" w:rsidP="00C429BE">
            <w:pPr>
              <w:jc w:val="center"/>
              <w:rPr>
                <w:rFonts w:ascii="Century Gothic" w:eastAsia="Arial Unicode MS" w:hAnsi="Century Gothic" w:cstheme="minorHAnsi"/>
                <w:b/>
              </w:rPr>
            </w:pPr>
            <w:r w:rsidRPr="00974C3D">
              <w:rPr>
                <w:rFonts w:ascii="Century Gothic" w:eastAsia="Arial Unicode MS" w:hAnsi="Century Gothic" w:cstheme="minorHAnsi"/>
                <w:b/>
              </w:rPr>
              <w:t>2011</w:t>
            </w:r>
          </w:p>
        </w:tc>
        <w:tc>
          <w:tcPr>
            <w:tcW w:w="387" w:type="pct"/>
            <w:shd w:val="clear" w:color="auto" w:fill="002D6F"/>
            <w:vAlign w:val="center"/>
          </w:tcPr>
          <w:p w:rsidR="005C7316" w:rsidRPr="00974C3D" w:rsidRDefault="005C7316" w:rsidP="00C429BE">
            <w:pPr>
              <w:jc w:val="center"/>
              <w:rPr>
                <w:rFonts w:ascii="Century Gothic" w:eastAsia="Arial Unicode MS" w:hAnsi="Century Gothic" w:cstheme="minorHAnsi"/>
                <w:b/>
              </w:rPr>
            </w:pPr>
            <w:r w:rsidRPr="00974C3D">
              <w:rPr>
                <w:rFonts w:ascii="Century Gothic" w:eastAsia="Arial Unicode MS" w:hAnsi="Century Gothic" w:cstheme="minorHAnsi"/>
                <w:b/>
              </w:rPr>
              <w:t>2012</w:t>
            </w:r>
          </w:p>
        </w:tc>
        <w:tc>
          <w:tcPr>
            <w:tcW w:w="387" w:type="pct"/>
            <w:shd w:val="clear" w:color="auto" w:fill="002D6F"/>
            <w:vAlign w:val="center"/>
          </w:tcPr>
          <w:p w:rsidR="005C7316" w:rsidRPr="00974C3D" w:rsidRDefault="005C7316" w:rsidP="00C429BE">
            <w:pPr>
              <w:jc w:val="center"/>
              <w:rPr>
                <w:rFonts w:ascii="Century Gothic" w:eastAsia="Arial Unicode MS" w:hAnsi="Century Gothic" w:cstheme="minorHAnsi"/>
                <w:b/>
              </w:rPr>
            </w:pPr>
            <w:r w:rsidRPr="00974C3D">
              <w:rPr>
                <w:rFonts w:ascii="Century Gothic" w:eastAsia="Arial Unicode MS" w:hAnsi="Century Gothic" w:cstheme="minorHAnsi"/>
                <w:b/>
              </w:rPr>
              <w:t>2013</w:t>
            </w:r>
          </w:p>
        </w:tc>
        <w:tc>
          <w:tcPr>
            <w:tcW w:w="387" w:type="pct"/>
            <w:shd w:val="clear" w:color="auto" w:fill="002D6F"/>
            <w:vAlign w:val="center"/>
          </w:tcPr>
          <w:p w:rsidR="005C7316" w:rsidRPr="00974C3D" w:rsidRDefault="005C7316" w:rsidP="00C429BE">
            <w:pPr>
              <w:jc w:val="center"/>
              <w:rPr>
                <w:rFonts w:ascii="Century Gothic" w:eastAsia="Arial Unicode MS" w:hAnsi="Century Gothic" w:cstheme="minorHAnsi"/>
                <w:b/>
              </w:rPr>
            </w:pPr>
            <w:r w:rsidRPr="00974C3D">
              <w:rPr>
                <w:rFonts w:ascii="Century Gothic" w:eastAsia="Arial Unicode MS" w:hAnsi="Century Gothic" w:cstheme="minorHAnsi"/>
                <w:b/>
              </w:rPr>
              <w:t>2014</w:t>
            </w:r>
          </w:p>
        </w:tc>
        <w:tc>
          <w:tcPr>
            <w:tcW w:w="387" w:type="pct"/>
            <w:shd w:val="clear" w:color="auto" w:fill="002D6F"/>
            <w:vAlign w:val="center"/>
          </w:tcPr>
          <w:p w:rsidR="005C7316" w:rsidRPr="00974C3D" w:rsidRDefault="005C7316" w:rsidP="00C429BE">
            <w:pPr>
              <w:jc w:val="center"/>
              <w:rPr>
                <w:rFonts w:ascii="Century Gothic" w:eastAsia="Arial Unicode MS" w:hAnsi="Century Gothic" w:cstheme="minorHAnsi"/>
                <w:b/>
              </w:rPr>
            </w:pPr>
            <w:r w:rsidRPr="00974C3D">
              <w:rPr>
                <w:rFonts w:ascii="Century Gothic" w:eastAsia="Arial Unicode MS" w:hAnsi="Century Gothic" w:cstheme="minorHAnsi"/>
                <w:b/>
              </w:rPr>
              <w:t>2015</w:t>
            </w:r>
          </w:p>
        </w:tc>
        <w:tc>
          <w:tcPr>
            <w:tcW w:w="387" w:type="pct"/>
            <w:shd w:val="clear" w:color="auto" w:fill="002D6F"/>
            <w:vAlign w:val="center"/>
          </w:tcPr>
          <w:p w:rsidR="005C7316" w:rsidRPr="00974C3D" w:rsidRDefault="005C7316" w:rsidP="00C429BE">
            <w:pPr>
              <w:jc w:val="center"/>
              <w:rPr>
                <w:rFonts w:ascii="Century Gothic" w:eastAsia="Arial Unicode MS" w:hAnsi="Century Gothic" w:cstheme="minorHAnsi"/>
                <w:b/>
              </w:rPr>
            </w:pPr>
            <w:r w:rsidRPr="00974C3D">
              <w:rPr>
                <w:rFonts w:ascii="Century Gothic" w:eastAsia="Arial Unicode MS" w:hAnsi="Century Gothic" w:cstheme="minorHAnsi"/>
                <w:b/>
              </w:rPr>
              <w:t>2016</w:t>
            </w:r>
          </w:p>
        </w:tc>
        <w:tc>
          <w:tcPr>
            <w:tcW w:w="387" w:type="pct"/>
            <w:shd w:val="clear" w:color="auto" w:fill="002D6F"/>
            <w:vAlign w:val="center"/>
          </w:tcPr>
          <w:p w:rsidR="005C7316" w:rsidRPr="00974C3D" w:rsidRDefault="005C7316" w:rsidP="00C429BE">
            <w:pPr>
              <w:jc w:val="center"/>
              <w:rPr>
                <w:rFonts w:ascii="Century Gothic" w:eastAsia="Arial Unicode MS" w:hAnsi="Century Gothic" w:cstheme="minorHAnsi"/>
                <w:b/>
              </w:rPr>
            </w:pPr>
            <w:r w:rsidRPr="00974C3D">
              <w:rPr>
                <w:rFonts w:ascii="Century Gothic" w:eastAsia="Arial Unicode MS" w:hAnsi="Century Gothic" w:cstheme="minorHAnsi"/>
                <w:b/>
              </w:rPr>
              <w:t>2017</w:t>
            </w:r>
          </w:p>
        </w:tc>
        <w:tc>
          <w:tcPr>
            <w:tcW w:w="387" w:type="pct"/>
            <w:shd w:val="clear" w:color="auto" w:fill="002D6F"/>
            <w:vAlign w:val="center"/>
          </w:tcPr>
          <w:p w:rsidR="005C7316" w:rsidRPr="00974C3D" w:rsidRDefault="005C7316" w:rsidP="00C429BE">
            <w:pPr>
              <w:jc w:val="center"/>
              <w:rPr>
                <w:rFonts w:ascii="Century Gothic" w:eastAsia="Arial Unicode MS" w:hAnsi="Century Gothic" w:cstheme="minorHAnsi"/>
                <w:b/>
              </w:rPr>
            </w:pPr>
            <w:r w:rsidRPr="00974C3D">
              <w:rPr>
                <w:rFonts w:ascii="Century Gothic" w:eastAsia="Arial Unicode MS" w:hAnsi="Century Gothic" w:cstheme="minorHAnsi"/>
                <w:b/>
              </w:rPr>
              <w:t>2018</w:t>
            </w:r>
          </w:p>
        </w:tc>
        <w:tc>
          <w:tcPr>
            <w:tcW w:w="387" w:type="pct"/>
            <w:shd w:val="clear" w:color="auto" w:fill="002D6F"/>
            <w:vAlign w:val="center"/>
          </w:tcPr>
          <w:p w:rsidR="005C7316" w:rsidRPr="00974C3D" w:rsidRDefault="005C7316" w:rsidP="00C429BE">
            <w:pPr>
              <w:jc w:val="center"/>
              <w:rPr>
                <w:rFonts w:ascii="Century Gothic" w:eastAsia="Arial Unicode MS" w:hAnsi="Century Gothic" w:cstheme="minorHAnsi"/>
                <w:b/>
              </w:rPr>
            </w:pPr>
            <w:r w:rsidRPr="00974C3D">
              <w:rPr>
                <w:rFonts w:ascii="Century Gothic" w:eastAsia="Arial Unicode MS" w:hAnsi="Century Gothic" w:cstheme="minorHAnsi"/>
                <w:b/>
              </w:rPr>
              <w:t>2019</w:t>
            </w:r>
          </w:p>
        </w:tc>
        <w:tc>
          <w:tcPr>
            <w:tcW w:w="387" w:type="pct"/>
            <w:shd w:val="clear" w:color="auto" w:fill="002D6F"/>
            <w:vAlign w:val="center"/>
          </w:tcPr>
          <w:p w:rsidR="005C7316" w:rsidRPr="00974C3D" w:rsidRDefault="005C7316" w:rsidP="00C429BE">
            <w:pPr>
              <w:jc w:val="center"/>
              <w:rPr>
                <w:rFonts w:ascii="Century Gothic" w:eastAsia="Arial Unicode MS" w:hAnsi="Century Gothic" w:cstheme="minorHAnsi"/>
                <w:b/>
              </w:rPr>
            </w:pPr>
            <w:r w:rsidRPr="00974C3D">
              <w:rPr>
                <w:rFonts w:ascii="Century Gothic" w:eastAsia="Arial Unicode MS" w:hAnsi="Century Gothic" w:cstheme="minorHAnsi"/>
                <w:b/>
              </w:rPr>
              <w:t>2020</w:t>
            </w:r>
          </w:p>
        </w:tc>
        <w:tc>
          <w:tcPr>
            <w:tcW w:w="584" w:type="pct"/>
            <w:shd w:val="clear" w:color="auto" w:fill="002D6F"/>
            <w:vAlign w:val="center"/>
          </w:tcPr>
          <w:p w:rsidR="005C7316" w:rsidRPr="00974C3D" w:rsidRDefault="005C7316" w:rsidP="00C429BE">
            <w:pPr>
              <w:jc w:val="center"/>
              <w:rPr>
                <w:rFonts w:ascii="Century Gothic" w:eastAsia="Arial Unicode MS" w:hAnsi="Century Gothic" w:cstheme="minorHAnsi"/>
                <w:b/>
              </w:rPr>
            </w:pPr>
            <w:r w:rsidRPr="00974C3D">
              <w:rPr>
                <w:rFonts w:ascii="Century Gothic" w:eastAsia="Arial Unicode MS" w:hAnsi="Century Gothic" w:cstheme="minorHAnsi"/>
                <w:b/>
              </w:rPr>
              <w:t>2021</w:t>
            </w:r>
          </w:p>
        </w:tc>
      </w:tr>
      <w:tr w:rsidR="005C7316" w:rsidRPr="00701718" w:rsidTr="00C429BE">
        <w:trPr>
          <w:cantSplit/>
          <w:trHeight w:hRule="exact" w:val="461"/>
        </w:trPr>
        <w:tc>
          <w:tcPr>
            <w:tcW w:w="541" w:type="pct"/>
            <w:shd w:val="clear" w:color="auto" w:fill="002D6F"/>
            <w:vAlign w:val="center"/>
          </w:tcPr>
          <w:p w:rsidR="005C7316" w:rsidRPr="00974C3D" w:rsidRDefault="005C7316" w:rsidP="00C429BE">
            <w:pPr>
              <w:jc w:val="center"/>
              <w:rPr>
                <w:rFonts w:ascii="Century Gothic" w:eastAsia="Arial Unicode MS" w:hAnsi="Century Gothic"/>
                <w:b/>
              </w:rPr>
            </w:pPr>
            <w:r w:rsidRPr="00974C3D">
              <w:rPr>
                <w:rFonts w:ascii="Century Gothic" w:eastAsia="Arial Unicode MS" w:hAnsi="Century Gothic"/>
                <w:b/>
              </w:rPr>
              <w:t>2011</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1</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1</w:t>
            </w:r>
          </w:p>
        </w:tc>
        <w:tc>
          <w:tcPr>
            <w:tcW w:w="387" w:type="pct"/>
            <w:shd w:val="clear" w:color="auto" w:fill="8DB3E2" w:themeFill="text2" w:themeFillTint="66"/>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1</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2</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2</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3</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3</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TBD</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TBD</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TBD</w:t>
            </w:r>
          </w:p>
        </w:tc>
        <w:tc>
          <w:tcPr>
            <w:tcW w:w="584"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TBD</w:t>
            </w:r>
          </w:p>
        </w:tc>
      </w:tr>
      <w:tr w:rsidR="005C7316" w:rsidRPr="00701718" w:rsidTr="00C429BE">
        <w:trPr>
          <w:cantSplit/>
          <w:trHeight w:val="461"/>
        </w:trPr>
        <w:tc>
          <w:tcPr>
            <w:tcW w:w="541" w:type="pct"/>
            <w:shd w:val="clear" w:color="auto" w:fill="002D6F"/>
            <w:vAlign w:val="center"/>
          </w:tcPr>
          <w:p w:rsidR="005C7316" w:rsidRPr="00974C3D" w:rsidRDefault="005C7316" w:rsidP="00C429BE">
            <w:pPr>
              <w:jc w:val="center"/>
              <w:rPr>
                <w:rFonts w:ascii="Century Gothic" w:eastAsia="Arial Unicode MS" w:hAnsi="Century Gothic"/>
                <w:b/>
              </w:rPr>
            </w:pPr>
            <w:r w:rsidRPr="00974C3D">
              <w:rPr>
                <w:rFonts w:ascii="Century Gothic" w:eastAsia="Arial Unicode MS" w:hAnsi="Century Gothic"/>
                <w:b/>
              </w:rPr>
              <w:t>2012</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1</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1</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2</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2</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3</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3</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TBD</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TBD</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TBD</w:t>
            </w:r>
          </w:p>
        </w:tc>
        <w:tc>
          <w:tcPr>
            <w:tcW w:w="584"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TBD</w:t>
            </w:r>
          </w:p>
        </w:tc>
      </w:tr>
      <w:tr w:rsidR="005C7316" w:rsidRPr="00701718" w:rsidTr="00C429BE">
        <w:trPr>
          <w:cantSplit/>
          <w:trHeight w:val="461"/>
        </w:trPr>
        <w:tc>
          <w:tcPr>
            <w:tcW w:w="541" w:type="pct"/>
            <w:shd w:val="clear" w:color="auto" w:fill="002D6F"/>
            <w:vAlign w:val="center"/>
          </w:tcPr>
          <w:p w:rsidR="005C7316" w:rsidRPr="00974C3D" w:rsidRDefault="005C7316" w:rsidP="00C429BE">
            <w:pPr>
              <w:jc w:val="center"/>
              <w:rPr>
                <w:rFonts w:ascii="Century Gothic" w:eastAsia="Arial Unicode MS" w:hAnsi="Century Gothic"/>
                <w:b/>
              </w:rPr>
            </w:pPr>
            <w:r w:rsidRPr="00974C3D">
              <w:rPr>
                <w:rFonts w:ascii="Century Gothic" w:eastAsia="Arial Unicode MS" w:hAnsi="Century Gothic"/>
                <w:b/>
              </w:rPr>
              <w:t>2013</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1</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1</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2</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2</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3</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3</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TBD</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TBD</w:t>
            </w:r>
          </w:p>
        </w:tc>
        <w:tc>
          <w:tcPr>
            <w:tcW w:w="584"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TBD</w:t>
            </w:r>
          </w:p>
        </w:tc>
      </w:tr>
      <w:tr w:rsidR="005C7316" w:rsidRPr="00701718" w:rsidTr="00C429BE">
        <w:trPr>
          <w:cantSplit/>
          <w:trHeight w:val="461"/>
        </w:trPr>
        <w:tc>
          <w:tcPr>
            <w:tcW w:w="541" w:type="pct"/>
            <w:shd w:val="clear" w:color="auto" w:fill="002D6F"/>
            <w:vAlign w:val="center"/>
          </w:tcPr>
          <w:p w:rsidR="005C7316" w:rsidRPr="00974C3D" w:rsidRDefault="005C7316" w:rsidP="00C429BE">
            <w:pPr>
              <w:jc w:val="center"/>
              <w:rPr>
                <w:rFonts w:ascii="Century Gothic" w:eastAsia="Arial Unicode MS" w:hAnsi="Century Gothic"/>
                <w:b/>
              </w:rPr>
            </w:pPr>
            <w:r w:rsidRPr="00974C3D">
              <w:rPr>
                <w:rFonts w:ascii="Century Gothic" w:eastAsia="Arial Unicode MS" w:hAnsi="Century Gothic"/>
                <w:b/>
              </w:rPr>
              <w:t>2014</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1</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1</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2</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2</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3</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3</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TBD</w:t>
            </w:r>
          </w:p>
        </w:tc>
        <w:tc>
          <w:tcPr>
            <w:tcW w:w="584"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TBD</w:t>
            </w:r>
          </w:p>
        </w:tc>
      </w:tr>
      <w:tr w:rsidR="005C7316" w:rsidRPr="00701718" w:rsidTr="00C429BE">
        <w:trPr>
          <w:cantSplit/>
          <w:trHeight w:val="461"/>
        </w:trPr>
        <w:tc>
          <w:tcPr>
            <w:tcW w:w="541" w:type="pct"/>
            <w:shd w:val="clear" w:color="auto" w:fill="002D6F"/>
            <w:vAlign w:val="center"/>
          </w:tcPr>
          <w:p w:rsidR="005C7316" w:rsidRPr="00974C3D" w:rsidRDefault="005C7316" w:rsidP="00C429BE">
            <w:pPr>
              <w:jc w:val="center"/>
              <w:rPr>
                <w:rFonts w:ascii="Century Gothic" w:eastAsia="Arial Unicode MS" w:hAnsi="Century Gothic"/>
                <w:b/>
              </w:rPr>
            </w:pPr>
            <w:r w:rsidRPr="00974C3D">
              <w:rPr>
                <w:rFonts w:ascii="Century Gothic" w:eastAsia="Arial Unicode MS" w:hAnsi="Century Gothic"/>
                <w:b/>
              </w:rPr>
              <w:t>2015</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1</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1</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2</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2</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3</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3</w:t>
            </w:r>
          </w:p>
        </w:tc>
        <w:tc>
          <w:tcPr>
            <w:tcW w:w="584"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TBD</w:t>
            </w:r>
          </w:p>
        </w:tc>
      </w:tr>
      <w:tr w:rsidR="005C7316" w:rsidRPr="00701718" w:rsidTr="00C429BE">
        <w:trPr>
          <w:cantSplit/>
          <w:trHeight w:val="461"/>
        </w:trPr>
        <w:tc>
          <w:tcPr>
            <w:tcW w:w="541" w:type="pct"/>
            <w:shd w:val="clear" w:color="auto" w:fill="002D6F"/>
            <w:vAlign w:val="center"/>
          </w:tcPr>
          <w:p w:rsidR="005C7316" w:rsidRPr="00974C3D" w:rsidRDefault="005C7316" w:rsidP="00C429BE">
            <w:pPr>
              <w:jc w:val="center"/>
              <w:rPr>
                <w:rFonts w:ascii="Century Gothic" w:eastAsia="Arial Unicode MS" w:hAnsi="Century Gothic"/>
                <w:b/>
              </w:rPr>
            </w:pPr>
            <w:r w:rsidRPr="00974C3D">
              <w:rPr>
                <w:rFonts w:ascii="Century Gothic" w:eastAsia="Arial Unicode MS" w:hAnsi="Century Gothic"/>
                <w:b/>
              </w:rPr>
              <w:t>2016</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1</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1</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2</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2</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3</w:t>
            </w:r>
          </w:p>
        </w:tc>
        <w:tc>
          <w:tcPr>
            <w:tcW w:w="584"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3</w:t>
            </w:r>
          </w:p>
        </w:tc>
      </w:tr>
      <w:tr w:rsidR="005C7316" w:rsidRPr="00701718" w:rsidTr="00C429BE">
        <w:trPr>
          <w:cantSplit/>
          <w:trHeight w:val="461"/>
        </w:trPr>
        <w:tc>
          <w:tcPr>
            <w:tcW w:w="541" w:type="pct"/>
            <w:shd w:val="clear" w:color="auto" w:fill="002D6F"/>
            <w:vAlign w:val="center"/>
          </w:tcPr>
          <w:p w:rsidR="005C7316" w:rsidRPr="00974C3D" w:rsidRDefault="005C7316" w:rsidP="00C429BE">
            <w:pPr>
              <w:jc w:val="center"/>
              <w:rPr>
                <w:rFonts w:ascii="Century Gothic" w:eastAsia="Arial Unicode MS" w:hAnsi="Century Gothic"/>
                <w:b/>
              </w:rPr>
            </w:pPr>
            <w:r w:rsidRPr="00974C3D">
              <w:rPr>
                <w:rFonts w:ascii="Century Gothic" w:eastAsia="Arial Unicode MS" w:hAnsi="Century Gothic"/>
                <w:b/>
              </w:rPr>
              <w:t>2017</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1</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1</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2</w:t>
            </w:r>
          </w:p>
        </w:tc>
        <w:tc>
          <w:tcPr>
            <w:tcW w:w="387"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2</w:t>
            </w:r>
          </w:p>
        </w:tc>
        <w:tc>
          <w:tcPr>
            <w:tcW w:w="584" w:type="pct"/>
            <w:shd w:val="clear" w:color="auto" w:fill="E3F5FF"/>
            <w:vAlign w:val="center"/>
          </w:tcPr>
          <w:p w:rsidR="005C7316" w:rsidRPr="00974C3D" w:rsidRDefault="005C7316" w:rsidP="00C429BE">
            <w:pPr>
              <w:jc w:val="center"/>
              <w:rPr>
                <w:rFonts w:asciiTheme="minorHAnsi" w:eastAsia="Arial Unicode MS" w:hAnsiTheme="minorHAnsi" w:cstheme="minorHAnsi"/>
                <w:sz w:val="22"/>
                <w:szCs w:val="22"/>
              </w:rPr>
            </w:pPr>
            <w:r w:rsidRPr="00974C3D">
              <w:rPr>
                <w:rFonts w:asciiTheme="minorHAnsi" w:eastAsia="Arial Unicode MS" w:hAnsiTheme="minorHAnsi" w:cstheme="minorHAnsi"/>
                <w:sz w:val="22"/>
                <w:szCs w:val="22"/>
              </w:rPr>
              <w:t>3</w:t>
            </w:r>
          </w:p>
        </w:tc>
      </w:tr>
    </w:tbl>
    <w:p w:rsidR="009433E8" w:rsidRDefault="009433E8" w:rsidP="00C012CB">
      <w:pPr>
        <w:spacing w:after="0" w:line="240" w:lineRule="auto"/>
        <w:rPr>
          <w:rFonts w:cstheme="minorHAnsi"/>
          <w:b/>
        </w:rPr>
      </w:pPr>
    </w:p>
    <w:p w:rsidR="0080012C" w:rsidRPr="0080012C" w:rsidRDefault="0080012C" w:rsidP="00C012CB">
      <w:pPr>
        <w:spacing w:after="0" w:line="240" w:lineRule="auto"/>
        <w:rPr>
          <w:rFonts w:cstheme="minorHAnsi"/>
          <w:b/>
        </w:rPr>
      </w:pPr>
      <w:r w:rsidRPr="0080012C">
        <w:rPr>
          <w:rFonts w:cstheme="minorHAnsi"/>
          <w:b/>
        </w:rPr>
        <w:t>Resources</w:t>
      </w:r>
    </w:p>
    <w:p w:rsidR="005C7316" w:rsidRDefault="005C7316" w:rsidP="00C012CB">
      <w:pPr>
        <w:spacing w:after="0" w:line="240" w:lineRule="auto"/>
        <w:rPr>
          <w:rFonts w:cstheme="minorHAnsi"/>
        </w:rPr>
      </w:pPr>
      <w:r>
        <w:rPr>
          <w:rFonts w:cstheme="minorHAnsi"/>
        </w:rPr>
        <w:t>For more information</w:t>
      </w:r>
      <w:r w:rsidR="0080012C">
        <w:rPr>
          <w:rFonts w:cstheme="minorHAnsi"/>
        </w:rPr>
        <w:t xml:space="preserve"> on Stage 2</w:t>
      </w:r>
      <w:r>
        <w:rPr>
          <w:rFonts w:cstheme="minorHAnsi"/>
        </w:rPr>
        <w:t xml:space="preserve">, please visit the CMS website at </w:t>
      </w:r>
      <w:hyperlink r:id="rId5" w:history="1">
        <w:r w:rsidRPr="00912408">
          <w:rPr>
            <w:rStyle w:val="Hyperlink"/>
            <w:rFonts w:cstheme="minorHAnsi"/>
          </w:rPr>
          <w:t>http://www.cms.gov/Regulations-and-Guidance/Legislation/EHRIncentivePrograms/Stage_2.html</w:t>
        </w:r>
      </w:hyperlink>
      <w:r>
        <w:rPr>
          <w:rFonts w:cstheme="minorHAnsi"/>
        </w:rPr>
        <w:t xml:space="preserve"> </w:t>
      </w:r>
    </w:p>
    <w:p w:rsidR="005C7316" w:rsidRDefault="005C7316" w:rsidP="00C012CB">
      <w:pPr>
        <w:spacing w:after="0" w:line="240" w:lineRule="auto"/>
        <w:rPr>
          <w:rFonts w:cstheme="minorHAnsi"/>
        </w:rPr>
      </w:pPr>
    </w:p>
    <w:p w:rsidR="0080012C" w:rsidRPr="0080012C" w:rsidRDefault="0080012C" w:rsidP="00C012CB">
      <w:pPr>
        <w:spacing w:after="0" w:line="240" w:lineRule="auto"/>
        <w:rPr>
          <w:rFonts w:cstheme="minorHAnsi"/>
          <w:b/>
        </w:rPr>
      </w:pPr>
    </w:p>
    <w:p w:rsidR="005C7316" w:rsidRPr="00C012CB" w:rsidRDefault="005C7316" w:rsidP="00C012CB">
      <w:pPr>
        <w:spacing w:after="0" w:line="240" w:lineRule="auto"/>
        <w:rPr>
          <w:rFonts w:cstheme="minorHAnsi"/>
        </w:rPr>
      </w:pPr>
      <w:r w:rsidRPr="005C7316">
        <w:rPr>
          <w:rFonts w:cstheme="minorHAnsi"/>
        </w:rPr>
        <w:t xml:space="preserve">If you have not participated in the Medicare or Medicaid EHR Incentive Programs previously, or if you have never achieved meaningful use under the Stage 1 criteria, please visit the CMS EHR Incentive Programs website </w:t>
      </w:r>
      <w:hyperlink r:id="rId6" w:history="1">
        <w:r w:rsidRPr="00912408">
          <w:rPr>
            <w:rStyle w:val="Hyperlink"/>
            <w:rFonts w:cstheme="minorHAnsi"/>
          </w:rPr>
          <w:t>www.cms.gov/EHRIncentivePrograms</w:t>
        </w:r>
      </w:hyperlink>
      <w:r>
        <w:rPr>
          <w:rFonts w:cstheme="minorHAnsi"/>
        </w:rPr>
        <w:t xml:space="preserve">  f</w:t>
      </w:r>
      <w:r w:rsidRPr="005C7316">
        <w:rPr>
          <w:rFonts w:cstheme="minorHAnsi"/>
        </w:rPr>
        <w:t>or more information about ho</w:t>
      </w:r>
      <w:r w:rsidR="009433E8">
        <w:rPr>
          <w:rFonts w:cstheme="minorHAnsi"/>
        </w:rPr>
        <w:t xml:space="preserve">w to take part in the program. </w:t>
      </w:r>
    </w:p>
    <w:sectPr w:rsidR="005C7316" w:rsidRPr="00C01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CB"/>
    <w:rsid w:val="0011714B"/>
    <w:rsid w:val="0018798C"/>
    <w:rsid w:val="00482C20"/>
    <w:rsid w:val="00492624"/>
    <w:rsid w:val="00496505"/>
    <w:rsid w:val="005420F0"/>
    <w:rsid w:val="005C7316"/>
    <w:rsid w:val="005E1EFB"/>
    <w:rsid w:val="00663FA7"/>
    <w:rsid w:val="006A1A25"/>
    <w:rsid w:val="006B1484"/>
    <w:rsid w:val="0080012C"/>
    <w:rsid w:val="009433E8"/>
    <w:rsid w:val="0095553E"/>
    <w:rsid w:val="00965086"/>
    <w:rsid w:val="009B48EF"/>
    <w:rsid w:val="00A655CA"/>
    <w:rsid w:val="00B51092"/>
    <w:rsid w:val="00C012CB"/>
    <w:rsid w:val="00C429BE"/>
    <w:rsid w:val="00DC3DDC"/>
    <w:rsid w:val="00F52D5D"/>
    <w:rsid w:val="00F6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731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C73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731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C7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ms.gov/EHRIncentivePrograms" TargetMode="External"/><Relationship Id="rId5" Type="http://schemas.openxmlformats.org/officeDocument/2006/relationships/hyperlink" Target="http://www.cms.gov/Regulations-and-Guidance/Legislation/EHRIncentivePrograms/Stage_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Chelsea Skovgaard</cp:lastModifiedBy>
  <cp:revision>2</cp:revision>
  <cp:lastPrinted>2012-08-22T18:24:00Z</cp:lastPrinted>
  <dcterms:created xsi:type="dcterms:W3CDTF">2013-03-25T18:11:00Z</dcterms:created>
  <dcterms:modified xsi:type="dcterms:W3CDTF">2013-03-25T18:11:00Z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1514555383</vt:i4>
  </property>
  <property fmtid="{D5CDD505-2E9C-101B-9397-08002B2CF9AE}" pid="3" name="_NewReviewCycle">
    <vt:lpwstr/>
  </property>
  <property fmtid="{D5CDD505-2E9C-101B-9397-08002B2CF9AE}" pid="4" name="_EmailSubject">
    <vt:lpwstr>CMS Region VIII Frontier Focus - Electronic Health Record Incentive Program Drop-In Articles</vt:lpwstr>
  </property>
  <property fmtid="{D5CDD505-2E9C-101B-9397-08002B2CF9AE}" pid="5" name="_AuthorEmail">
    <vt:lpwstr>FrontierFocus@cms.hhs.gov</vt:lpwstr>
  </property>
  <property fmtid="{D5CDD505-2E9C-101B-9397-08002B2CF9AE}" pid="6" name="_AuthorEmailDisplayName">
    <vt:lpwstr>CMS Frontier Focus</vt:lpwstr>
  </property>
  <property fmtid="{D5CDD505-2E9C-101B-9397-08002B2CF9AE}" pid="7" name="_ReviewingToolsShownOnce">
    <vt:lpwstr/>
  </property>
</Properties>
</file>