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44" w:rsidRPr="00C23FFE" w:rsidRDefault="00AD4544" w:rsidP="00AD4544">
      <w:pPr>
        <w:spacing w:after="0" w:line="240" w:lineRule="auto"/>
        <w:rPr>
          <w:rFonts w:ascii="Verdana" w:hAnsi="Verdana"/>
          <w:sz w:val="20"/>
          <w:szCs w:val="20"/>
        </w:rPr>
      </w:pPr>
      <w:r w:rsidRPr="00C23FFE">
        <w:rPr>
          <w:rFonts w:ascii="Verdana" w:hAnsi="Verdana"/>
          <w:b/>
          <w:sz w:val="20"/>
          <w:szCs w:val="20"/>
        </w:rPr>
        <w:t>Reports To:</w:t>
      </w:r>
      <w:r w:rsidRPr="00C23FFE">
        <w:rPr>
          <w:rFonts w:ascii="Verdana" w:hAnsi="Verdana"/>
          <w:sz w:val="20"/>
          <w:szCs w:val="20"/>
        </w:rPr>
        <w:t xml:space="preserve"> Chief Medical Officer</w:t>
      </w:r>
    </w:p>
    <w:p w:rsidR="00AD4544" w:rsidRPr="00C23FFE" w:rsidRDefault="00AD4544" w:rsidP="00AD4544">
      <w:pPr>
        <w:spacing w:after="0" w:line="240" w:lineRule="auto"/>
        <w:rPr>
          <w:rFonts w:ascii="Verdana" w:hAnsi="Verdana"/>
          <w:sz w:val="20"/>
          <w:szCs w:val="20"/>
        </w:rPr>
      </w:pPr>
    </w:p>
    <w:p w:rsidR="00AD4544" w:rsidRPr="00C23FFE" w:rsidRDefault="00AD4544" w:rsidP="00AD4544">
      <w:pPr>
        <w:tabs>
          <w:tab w:val="left" w:pos="1830"/>
        </w:tabs>
        <w:spacing w:after="0" w:line="240" w:lineRule="auto"/>
        <w:jc w:val="both"/>
        <w:rPr>
          <w:rFonts w:ascii="Verdana" w:hAnsi="Verdana" w:cs="Arial"/>
          <w:sz w:val="20"/>
          <w:szCs w:val="20"/>
        </w:rPr>
      </w:pPr>
      <w:r w:rsidRPr="00C23FFE">
        <w:rPr>
          <w:rFonts w:ascii="Verdana" w:hAnsi="Verdana"/>
          <w:b/>
          <w:sz w:val="20"/>
          <w:szCs w:val="20"/>
        </w:rPr>
        <w:t>Summary:</w:t>
      </w:r>
      <w:r w:rsidRPr="00C23FFE">
        <w:rPr>
          <w:rFonts w:ascii="Verdana" w:hAnsi="Verdana"/>
          <w:sz w:val="20"/>
          <w:szCs w:val="20"/>
        </w:rPr>
        <w:t xml:space="preserve"> </w:t>
      </w:r>
      <w:r w:rsidRPr="00C23FFE">
        <w:rPr>
          <w:rFonts w:ascii="Verdana" w:hAnsi="Verdana" w:cs="Arial"/>
          <w:sz w:val="20"/>
          <w:szCs w:val="20"/>
        </w:rPr>
        <w:t>Responsible for providing leadership and technical expertise in the development and administration of risk management, compliance &amp; regulatory programs, including health, safety, and environment. Assures that all locations are complying with established policies &amp; procedures, and acts as a champion for employee health &amp; safety.</w:t>
      </w:r>
    </w:p>
    <w:p w:rsidR="00AD4544" w:rsidRPr="00C23FFE" w:rsidRDefault="00AD4544" w:rsidP="00AD4544">
      <w:pPr>
        <w:tabs>
          <w:tab w:val="left" w:pos="1830"/>
        </w:tabs>
        <w:spacing w:after="0" w:line="240" w:lineRule="auto"/>
        <w:jc w:val="both"/>
        <w:rPr>
          <w:rFonts w:ascii="Verdana" w:hAnsi="Verdana" w:cs="Arial"/>
          <w:snapToGrid w:val="0"/>
          <w:sz w:val="20"/>
          <w:szCs w:val="20"/>
        </w:rPr>
      </w:pPr>
    </w:p>
    <w:p w:rsidR="00AD4544" w:rsidRPr="00C23FFE" w:rsidRDefault="00AD4544" w:rsidP="00AD4544">
      <w:pPr>
        <w:spacing w:after="0" w:line="240" w:lineRule="auto"/>
        <w:rPr>
          <w:rFonts w:ascii="Verdana" w:hAnsi="Verdana"/>
          <w:b/>
          <w:sz w:val="20"/>
          <w:szCs w:val="20"/>
        </w:rPr>
      </w:pPr>
      <w:r w:rsidRPr="00C23FFE">
        <w:rPr>
          <w:rFonts w:ascii="Verdana" w:hAnsi="Verdana"/>
          <w:b/>
          <w:sz w:val="20"/>
          <w:szCs w:val="20"/>
        </w:rPr>
        <w:t>Essential Job Functions:</w:t>
      </w:r>
      <w:bookmarkStart w:id="0" w:name="_GoBack"/>
      <w:bookmarkEnd w:id="0"/>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 xml:space="preserve">Develops and implements Provider, RN and MA chart review process to include clinical quality and patient satisfaction. </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 xml:space="preserve">Develops audit and review tools to ensure clinical compliance. </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Ensures all regulatory and/or grant related training requirements are met and documented.</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Develops and conducts mandatory employee trainings, including but not limited to HIPAA health, safety &amp; environment (blood borne pathogens, emergency preparedness, infection control, workplace safety, etc.) fraud, waste and abuse, and coercion of minors.</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 xml:space="preserve">Monitors, measures &amp; reports internal compliance issues such as incident reports, patient concerns, etc. </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Develops &amp; maintains an employee health program, including employee immunizations.</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 xml:space="preserve">Collaborate with other department leaders to ensure that policies &amp; procedures are enforced and take appropriate action if needed. </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 xml:space="preserve">Builds ownership and accountability within clinics and ensure systems and processes are defined. </w:t>
      </w:r>
    </w:p>
    <w:p w:rsidR="00AD4544" w:rsidRPr="00C23FFE" w:rsidRDefault="00AD4544" w:rsidP="00AD4544">
      <w:pPr>
        <w:pStyle w:val="ListParagraph"/>
        <w:numPr>
          <w:ilvl w:val="0"/>
          <w:numId w:val="1"/>
        </w:numPr>
        <w:tabs>
          <w:tab w:val="left" w:pos="1830"/>
        </w:tabs>
        <w:jc w:val="both"/>
        <w:rPr>
          <w:rFonts w:ascii="Verdana" w:hAnsi="Verdana" w:cs="Arial"/>
          <w:snapToGrid w:val="0"/>
        </w:rPr>
      </w:pPr>
      <w:r w:rsidRPr="00C23FFE">
        <w:rPr>
          <w:rFonts w:ascii="Verdana" w:hAnsi="Verdana" w:cs="Arial"/>
          <w:snapToGrid w:val="0"/>
        </w:rPr>
        <w:t>Develop policies and procedures related to risk, compliance, and quality assurance.</w:t>
      </w:r>
    </w:p>
    <w:p w:rsidR="00AD4544" w:rsidRPr="00C23FFE" w:rsidRDefault="00AD4544" w:rsidP="00AD4544">
      <w:pPr>
        <w:numPr>
          <w:ilvl w:val="0"/>
          <w:numId w:val="1"/>
        </w:numPr>
        <w:tabs>
          <w:tab w:val="left" w:pos="720"/>
          <w:tab w:val="left" w:pos="810"/>
        </w:tabs>
        <w:spacing w:after="0" w:line="240" w:lineRule="auto"/>
        <w:jc w:val="both"/>
        <w:rPr>
          <w:rFonts w:ascii="Verdana" w:hAnsi="Verdana" w:cs="Arial"/>
          <w:snapToGrid w:val="0"/>
          <w:sz w:val="20"/>
          <w:szCs w:val="20"/>
        </w:rPr>
      </w:pPr>
      <w:r w:rsidRPr="00C23FFE">
        <w:rPr>
          <w:rFonts w:ascii="Verdana" w:hAnsi="Verdana" w:cs="Arial"/>
          <w:snapToGrid w:val="0"/>
          <w:sz w:val="20"/>
          <w:szCs w:val="20"/>
        </w:rPr>
        <w:t>Designated as the Compliance Officer for the organization.</w:t>
      </w:r>
    </w:p>
    <w:p w:rsidR="00AD4544" w:rsidRPr="00C23FFE" w:rsidRDefault="00AD4544" w:rsidP="00AD4544">
      <w:pPr>
        <w:numPr>
          <w:ilvl w:val="0"/>
          <w:numId w:val="1"/>
        </w:numPr>
        <w:tabs>
          <w:tab w:val="left" w:pos="720"/>
          <w:tab w:val="left" w:pos="810"/>
        </w:tabs>
        <w:spacing w:after="0" w:line="240" w:lineRule="auto"/>
        <w:jc w:val="both"/>
        <w:rPr>
          <w:rFonts w:ascii="Verdana" w:hAnsi="Verdana" w:cs="Arial"/>
          <w:snapToGrid w:val="0"/>
          <w:sz w:val="20"/>
          <w:szCs w:val="20"/>
        </w:rPr>
      </w:pPr>
      <w:r w:rsidRPr="00C23FFE">
        <w:rPr>
          <w:rFonts w:ascii="Verdana" w:hAnsi="Verdana" w:cs="Arial"/>
          <w:snapToGrid w:val="0"/>
          <w:sz w:val="20"/>
          <w:szCs w:val="20"/>
        </w:rPr>
        <w:t>Ensures annual malpractice training meets HRSA and FTCA requirements.</w:t>
      </w:r>
    </w:p>
    <w:p w:rsidR="00AD4544" w:rsidRPr="00C23FFE" w:rsidRDefault="00AD4544" w:rsidP="00AD4544">
      <w:pPr>
        <w:numPr>
          <w:ilvl w:val="0"/>
          <w:numId w:val="1"/>
        </w:numPr>
        <w:tabs>
          <w:tab w:val="left" w:pos="720"/>
          <w:tab w:val="left" w:pos="810"/>
        </w:tabs>
        <w:spacing w:after="0" w:line="240" w:lineRule="auto"/>
        <w:jc w:val="both"/>
        <w:rPr>
          <w:rFonts w:ascii="Verdana" w:hAnsi="Verdana" w:cs="Arial"/>
          <w:snapToGrid w:val="0"/>
          <w:sz w:val="20"/>
          <w:szCs w:val="20"/>
        </w:rPr>
      </w:pPr>
      <w:r w:rsidRPr="00C23FFE">
        <w:rPr>
          <w:rFonts w:ascii="Verdana" w:hAnsi="Verdana" w:cs="Arial"/>
          <w:snapToGrid w:val="0"/>
          <w:sz w:val="20"/>
          <w:szCs w:val="20"/>
        </w:rPr>
        <w:t xml:space="preserve">Ensures the board of directors, management, and employees are compliant with the rules and regulations of regulatory agencies, including policies and procedures. </w:t>
      </w:r>
    </w:p>
    <w:p w:rsidR="00AD4544" w:rsidRPr="00C23FFE" w:rsidRDefault="00AD4544" w:rsidP="00AD4544">
      <w:pPr>
        <w:numPr>
          <w:ilvl w:val="0"/>
          <w:numId w:val="1"/>
        </w:numPr>
        <w:tabs>
          <w:tab w:val="left" w:pos="720"/>
          <w:tab w:val="left" w:pos="810"/>
        </w:tabs>
        <w:spacing w:after="0" w:line="240" w:lineRule="auto"/>
        <w:jc w:val="both"/>
        <w:rPr>
          <w:rFonts w:ascii="Verdana" w:hAnsi="Verdana" w:cs="Arial"/>
          <w:snapToGrid w:val="0"/>
          <w:sz w:val="20"/>
          <w:szCs w:val="20"/>
        </w:rPr>
      </w:pPr>
      <w:r w:rsidRPr="00C23FFE">
        <w:rPr>
          <w:rFonts w:ascii="Verdana" w:hAnsi="Verdana" w:cs="Arial"/>
          <w:snapToGrid w:val="0"/>
          <w:sz w:val="20"/>
          <w:szCs w:val="20"/>
        </w:rPr>
        <w:t xml:space="preserve">Ensures that behavior related to health, safety &amp; environment meets company standards. </w:t>
      </w:r>
    </w:p>
    <w:p w:rsidR="00AD4544" w:rsidRPr="00C23FFE" w:rsidRDefault="00AD4544" w:rsidP="00AD4544">
      <w:pPr>
        <w:spacing w:after="0" w:line="240" w:lineRule="auto"/>
        <w:rPr>
          <w:rFonts w:ascii="Verdana" w:hAnsi="Verdana"/>
          <w:sz w:val="20"/>
          <w:szCs w:val="20"/>
        </w:rPr>
      </w:pPr>
    </w:p>
    <w:p w:rsidR="00AD4544" w:rsidRPr="00C23FFE" w:rsidRDefault="00AD4544" w:rsidP="00AD4544">
      <w:pPr>
        <w:tabs>
          <w:tab w:val="left" w:pos="1830"/>
        </w:tabs>
        <w:spacing w:after="0" w:line="240" w:lineRule="auto"/>
        <w:jc w:val="both"/>
        <w:rPr>
          <w:rFonts w:ascii="Verdana" w:hAnsi="Verdana" w:cs="Arial"/>
          <w:snapToGrid w:val="0"/>
          <w:sz w:val="20"/>
          <w:szCs w:val="20"/>
        </w:rPr>
      </w:pPr>
      <w:r w:rsidRPr="00C23FFE">
        <w:rPr>
          <w:rFonts w:ascii="Verdana" w:hAnsi="Verdana"/>
          <w:b/>
          <w:sz w:val="20"/>
          <w:szCs w:val="20"/>
        </w:rPr>
        <w:t>Supervisory Responsibilities:</w:t>
      </w:r>
      <w:r w:rsidRPr="00C23FFE">
        <w:rPr>
          <w:rFonts w:ascii="Verdana" w:hAnsi="Verdana"/>
          <w:sz w:val="20"/>
          <w:szCs w:val="20"/>
        </w:rPr>
        <w:t xml:space="preserve"> </w:t>
      </w:r>
      <w:r w:rsidRPr="00C23FFE">
        <w:rPr>
          <w:rFonts w:ascii="Verdana" w:hAnsi="Verdana" w:cs="Arial"/>
          <w:snapToGrid w:val="0"/>
          <w:sz w:val="20"/>
          <w:szCs w:val="20"/>
        </w:rPr>
        <w:t xml:space="preserve">This position directly supervises the Quality Assurance Coordinator. </w:t>
      </w:r>
    </w:p>
    <w:p w:rsidR="00AD4544" w:rsidRPr="00C23FFE" w:rsidRDefault="00AD4544" w:rsidP="00AD4544">
      <w:pPr>
        <w:tabs>
          <w:tab w:val="left" w:pos="1830"/>
        </w:tabs>
        <w:spacing w:after="0" w:line="240" w:lineRule="auto"/>
        <w:jc w:val="both"/>
        <w:rPr>
          <w:rFonts w:ascii="Verdana" w:hAnsi="Verdana" w:cs="Arial"/>
          <w:snapToGrid w:val="0"/>
          <w:sz w:val="20"/>
          <w:szCs w:val="20"/>
        </w:rPr>
      </w:pPr>
    </w:p>
    <w:p w:rsidR="00AD4544" w:rsidRPr="00C23FFE" w:rsidRDefault="00AD4544" w:rsidP="00AD4544">
      <w:pPr>
        <w:tabs>
          <w:tab w:val="left" w:pos="1830"/>
        </w:tabs>
        <w:spacing w:after="0" w:line="240" w:lineRule="auto"/>
        <w:jc w:val="both"/>
        <w:rPr>
          <w:rFonts w:ascii="Verdana" w:hAnsi="Verdana" w:cs="Arial"/>
          <w:snapToGrid w:val="0"/>
          <w:sz w:val="20"/>
          <w:szCs w:val="20"/>
        </w:rPr>
      </w:pPr>
      <w:r w:rsidRPr="00C23FFE">
        <w:rPr>
          <w:rFonts w:ascii="Verdana" w:hAnsi="Verdana" w:cs="Arial"/>
          <w:b/>
          <w:snapToGrid w:val="0"/>
          <w:sz w:val="20"/>
          <w:szCs w:val="20"/>
        </w:rPr>
        <w:t xml:space="preserve">Education and/or Experience: </w:t>
      </w:r>
      <w:r w:rsidRPr="00C23FFE">
        <w:rPr>
          <w:rFonts w:ascii="Verdana" w:hAnsi="Verdana" w:cs="Arial"/>
          <w:snapToGrid w:val="0"/>
          <w:sz w:val="20"/>
          <w:szCs w:val="20"/>
        </w:rPr>
        <w:t xml:space="preserve">Bachelor’s Degree, preferably related to business or a field within the healthcare industry. </w:t>
      </w:r>
      <w:proofErr w:type="gramStart"/>
      <w:r w:rsidRPr="00C23FFE">
        <w:rPr>
          <w:rFonts w:ascii="Verdana" w:hAnsi="Verdana" w:cs="Arial"/>
          <w:snapToGrid w:val="0"/>
          <w:sz w:val="20"/>
          <w:szCs w:val="20"/>
        </w:rPr>
        <w:t>Must have at least 5 years’ experience working in a leadership or management capacity within healthcare, preferably a patient-centered or community health center environment.</w:t>
      </w:r>
      <w:proofErr w:type="gramEnd"/>
      <w:r w:rsidRPr="00C23FFE">
        <w:rPr>
          <w:rFonts w:ascii="Verdana" w:hAnsi="Verdana" w:cs="Arial"/>
          <w:snapToGrid w:val="0"/>
          <w:sz w:val="20"/>
          <w:szCs w:val="20"/>
        </w:rPr>
        <w:t xml:space="preserve"> Experience and/or expertise in a clinical function (such as nursing) </w:t>
      </w:r>
      <w:proofErr w:type="gramStart"/>
      <w:r w:rsidRPr="00C23FFE">
        <w:rPr>
          <w:rFonts w:ascii="Verdana" w:hAnsi="Verdana" w:cs="Arial"/>
          <w:snapToGrid w:val="0"/>
          <w:sz w:val="20"/>
          <w:szCs w:val="20"/>
        </w:rPr>
        <w:t>is</w:t>
      </w:r>
      <w:proofErr w:type="gramEnd"/>
      <w:r w:rsidRPr="00C23FFE">
        <w:rPr>
          <w:rFonts w:ascii="Verdana" w:hAnsi="Verdana" w:cs="Arial"/>
          <w:snapToGrid w:val="0"/>
          <w:sz w:val="20"/>
          <w:szCs w:val="20"/>
        </w:rPr>
        <w:t xml:space="preserve"> preferred. </w:t>
      </w:r>
    </w:p>
    <w:p w:rsidR="00AD4544" w:rsidRPr="00C23FFE" w:rsidRDefault="00AD4544" w:rsidP="00AD4544">
      <w:pPr>
        <w:tabs>
          <w:tab w:val="left" w:pos="1830"/>
        </w:tabs>
        <w:spacing w:after="0" w:line="240" w:lineRule="auto"/>
        <w:jc w:val="both"/>
        <w:rPr>
          <w:rFonts w:ascii="Verdana" w:hAnsi="Verdana" w:cs="Arial"/>
          <w:snapToGrid w:val="0"/>
          <w:sz w:val="20"/>
          <w:szCs w:val="20"/>
        </w:rPr>
      </w:pPr>
    </w:p>
    <w:p w:rsidR="00AD4544" w:rsidRPr="00C23FFE" w:rsidRDefault="00AD4544" w:rsidP="00AD4544">
      <w:pPr>
        <w:tabs>
          <w:tab w:val="left" w:pos="1830"/>
        </w:tabs>
        <w:spacing w:after="0" w:line="240" w:lineRule="auto"/>
        <w:jc w:val="both"/>
        <w:rPr>
          <w:rFonts w:ascii="Verdana" w:hAnsi="Verdana" w:cs="Arial"/>
          <w:snapToGrid w:val="0"/>
          <w:sz w:val="20"/>
          <w:szCs w:val="20"/>
        </w:rPr>
      </w:pPr>
      <w:r w:rsidRPr="00C23FFE">
        <w:rPr>
          <w:rFonts w:ascii="Verdana" w:hAnsi="Verdana" w:cs="Arial"/>
          <w:b/>
          <w:sz w:val="20"/>
          <w:szCs w:val="20"/>
        </w:rPr>
        <w:t>Knowledge, Skills, Abilities &amp; Behaviors:</w:t>
      </w:r>
    </w:p>
    <w:p w:rsidR="00AD4544" w:rsidRPr="00C23FFE" w:rsidRDefault="00AD4544" w:rsidP="00AD4544">
      <w:pPr>
        <w:numPr>
          <w:ilvl w:val="0"/>
          <w:numId w:val="2"/>
        </w:numPr>
        <w:spacing w:after="0" w:line="240" w:lineRule="auto"/>
        <w:jc w:val="both"/>
        <w:rPr>
          <w:rFonts w:ascii="Verdana" w:hAnsi="Verdana" w:cs="Arial"/>
          <w:b/>
          <w:snapToGrid w:val="0"/>
          <w:sz w:val="20"/>
          <w:szCs w:val="20"/>
        </w:rPr>
      </w:pPr>
      <w:r w:rsidRPr="00C23FFE">
        <w:rPr>
          <w:rFonts w:ascii="Verdana" w:hAnsi="Verdana" w:cs="Arial"/>
          <w:sz w:val="20"/>
          <w:szCs w:val="20"/>
        </w:rPr>
        <w:t>Knowledge and understanding of clinic operations in a primary care setting.</w:t>
      </w:r>
    </w:p>
    <w:p w:rsidR="00AD4544" w:rsidRPr="00C23FFE" w:rsidRDefault="00AD4544" w:rsidP="00AD4544">
      <w:pPr>
        <w:numPr>
          <w:ilvl w:val="0"/>
          <w:numId w:val="2"/>
        </w:numPr>
        <w:spacing w:after="0" w:line="240" w:lineRule="auto"/>
        <w:jc w:val="both"/>
        <w:rPr>
          <w:rFonts w:ascii="Verdana" w:hAnsi="Verdana" w:cs="Arial"/>
          <w:snapToGrid w:val="0"/>
          <w:sz w:val="20"/>
          <w:szCs w:val="20"/>
        </w:rPr>
      </w:pPr>
      <w:r w:rsidRPr="00C23FFE">
        <w:rPr>
          <w:rFonts w:ascii="Verdana" w:hAnsi="Verdana" w:cs="Arial"/>
          <w:snapToGrid w:val="0"/>
          <w:sz w:val="20"/>
          <w:szCs w:val="20"/>
        </w:rPr>
        <w:t>Knowledge of state and federal regulations relating to safety and healthcare compliance, such as OSHA.</w:t>
      </w:r>
    </w:p>
    <w:p w:rsidR="00AD4544" w:rsidRPr="00C23FFE" w:rsidRDefault="00AD4544" w:rsidP="00AD4544">
      <w:pPr>
        <w:numPr>
          <w:ilvl w:val="0"/>
          <w:numId w:val="2"/>
        </w:numPr>
        <w:spacing w:after="0" w:line="240" w:lineRule="auto"/>
        <w:jc w:val="both"/>
        <w:rPr>
          <w:rFonts w:ascii="Verdana" w:hAnsi="Verdana" w:cs="Arial"/>
          <w:snapToGrid w:val="0"/>
          <w:sz w:val="20"/>
          <w:szCs w:val="20"/>
        </w:rPr>
      </w:pPr>
      <w:r w:rsidRPr="00C23FFE">
        <w:rPr>
          <w:rFonts w:ascii="Verdana" w:hAnsi="Verdana" w:cs="Arial"/>
          <w:snapToGrid w:val="0"/>
          <w:sz w:val="20"/>
          <w:szCs w:val="20"/>
        </w:rPr>
        <w:t xml:space="preserve">Knowledge of risk management techniques and concepts. </w:t>
      </w:r>
    </w:p>
    <w:p w:rsidR="00AD4544" w:rsidRPr="00C23FFE" w:rsidRDefault="00AD4544" w:rsidP="00AD4544">
      <w:pPr>
        <w:numPr>
          <w:ilvl w:val="0"/>
          <w:numId w:val="2"/>
        </w:numPr>
        <w:spacing w:after="0" w:line="240" w:lineRule="auto"/>
        <w:jc w:val="both"/>
        <w:rPr>
          <w:rFonts w:ascii="Verdana" w:hAnsi="Verdana" w:cs="Arial"/>
          <w:snapToGrid w:val="0"/>
          <w:sz w:val="20"/>
          <w:szCs w:val="20"/>
        </w:rPr>
      </w:pPr>
      <w:r w:rsidRPr="00C23FFE">
        <w:rPr>
          <w:rFonts w:ascii="Verdana" w:hAnsi="Verdana" w:cs="Arial"/>
          <w:snapToGrid w:val="0"/>
          <w:sz w:val="20"/>
          <w:szCs w:val="20"/>
        </w:rPr>
        <w:t>Excellent communication skills, both verbal and written.</w:t>
      </w:r>
    </w:p>
    <w:p w:rsidR="00AD4544" w:rsidRPr="00C23FFE" w:rsidRDefault="00AD4544" w:rsidP="00AD4544">
      <w:pPr>
        <w:numPr>
          <w:ilvl w:val="0"/>
          <w:numId w:val="2"/>
        </w:numPr>
        <w:spacing w:after="0" w:line="240" w:lineRule="auto"/>
        <w:jc w:val="both"/>
        <w:rPr>
          <w:rFonts w:ascii="Verdana" w:hAnsi="Verdana" w:cs="Arial"/>
          <w:snapToGrid w:val="0"/>
          <w:sz w:val="20"/>
          <w:szCs w:val="20"/>
        </w:rPr>
      </w:pPr>
      <w:r w:rsidRPr="00C23FFE">
        <w:rPr>
          <w:rFonts w:ascii="Verdana" w:hAnsi="Verdana" w:cs="Arial"/>
          <w:snapToGrid w:val="0"/>
          <w:sz w:val="20"/>
          <w:szCs w:val="20"/>
        </w:rPr>
        <w:t>Must be process oriented with an attention to detail</w:t>
      </w:r>
    </w:p>
    <w:p w:rsidR="00AD4544" w:rsidRPr="00C23FFE" w:rsidRDefault="00AD4544" w:rsidP="00AD4544">
      <w:pPr>
        <w:numPr>
          <w:ilvl w:val="0"/>
          <w:numId w:val="2"/>
        </w:numPr>
        <w:spacing w:after="0" w:line="240" w:lineRule="auto"/>
        <w:jc w:val="both"/>
        <w:rPr>
          <w:rFonts w:ascii="Verdana" w:hAnsi="Verdana" w:cs="Arial"/>
          <w:b/>
          <w:snapToGrid w:val="0"/>
          <w:sz w:val="20"/>
          <w:szCs w:val="20"/>
        </w:rPr>
      </w:pPr>
      <w:r w:rsidRPr="00C23FFE">
        <w:rPr>
          <w:rFonts w:ascii="Verdana" w:hAnsi="Verdana" w:cs="Arial"/>
          <w:sz w:val="20"/>
          <w:szCs w:val="20"/>
        </w:rPr>
        <w:t>Ability to influence without direct authority.</w:t>
      </w:r>
    </w:p>
    <w:p w:rsidR="00AD4544" w:rsidRPr="00C23FFE" w:rsidRDefault="00AD4544" w:rsidP="00AD4544">
      <w:pPr>
        <w:numPr>
          <w:ilvl w:val="0"/>
          <w:numId w:val="2"/>
        </w:numPr>
        <w:spacing w:after="0" w:line="240" w:lineRule="auto"/>
        <w:jc w:val="both"/>
        <w:rPr>
          <w:rFonts w:ascii="Verdana" w:hAnsi="Verdana" w:cs="Arial"/>
          <w:snapToGrid w:val="0"/>
          <w:sz w:val="20"/>
          <w:szCs w:val="20"/>
        </w:rPr>
      </w:pPr>
      <w:r w:rsidRPr="00C23FFE">
        <w:rPr>
          <w:rFonts w:ascii="Verdana" w:hAnsi="Verdana" w:cs="Arial"/>
          <w:snapToGrid w:val="0"/>
          <w:sz w:val="20"/>
          <w:szCs w:val="20"/>
        </w:rPr>
        <w:t>Ability to make thoughtful decisions on available information and take action.</w:t>
      </w:r>
    </w:p>
    <w:p w:rsidR="00AD4544" w:rsidRPr="00C23FFE" w:rsidRDefault="00AD4544" w:rsidP="00AD4544">
      <w:pPr>
        <w:numPr>
          <w:ilvl w:val="0"/>
          <w:numId w:val="2"/>
        </w:numPr>
        <w:spacing w:after="0" w:line="240" w:lineRule="auto"/>
        <w:jc w:val="both"/>
        <w:rPr>
          <w:rFonts w:ascii="Verdana" w:hAnsi="Verdana" w:cs="Arial"/>
          <w:b/>
          <w:snapToGrid w:val="0"/>
          <w:sz w:val="20"/>
          <w:szCs w:val="20"/>
        </w:rPr>
      </w:pPr>
      <w:r w:rsidRPr="00C23FFE">
        <w:rPr>
          <w:rFonts w:ascii="Verdana" w:hAnsi="Verdana" w:cs="Arial"/>
          <w:sz w:val="20"/>
          <w:szCs w:val="20"/>
        </w:rPr>
        <w:t>Ability to interpret and apply regulatory guidelines in a practical manner.</w:t>
      </w:r>
    </w:p>
    <w:p w:rsidR="00AD4544" w:rsidRPr="00C23FFE" w:rsidRDefault="00AD4544" w:rsidP="00AD4544">
      <w:pPr>
        <w:numPr>
          <w:ilvl w:val="0"/>
          <w:numId w:val="2"/>
        </w:numPr>
        <w:spacing w:after="0" w:line="240" w:lineRule="auto"/>
        <w:jc w:val="both"/>
        <w:rPr>
          <w:rFonts w:ascii="Verdana" w:hAnsi="Verdana" w:cs="Arial"/>
          <w:b/>
          <w:snapToGrid w:val="0"/>
          <w:sz w:val="20"/>
          <w:szCs w:val="20"/>
        </w:rPr>
      </w:pPr>
      <w:r w:rsidRPr="00C23FFE">
        <w:rPr>
          <w:rFonts w:ascii="Verdana" w:hAnsi="Verdana" w:cs="Arial"/>
          <w:sz w:val="20"/>
          <w:szCs w:val="20"/>
        </w:rPr>
        <w:t xml:space="preserve">Ability to function in a complex, dynamic and fluid environment.  </w:t>
      </w:r>
    </w:p>
    <w:p w:rsidR="00AD4544" w:rsidRPr="00C23FFE" w:rsidRDefault="00AD4544" w:rsidP="00AD4544">
      <w:pPr>
        <w:numPr>
          <w:ilvl w:val="0"/>
          <w:numId w:val="2"/>
        </w:numPr>
        <w:spacing w:after="0" w:line="240" w:lineRule="auto"/>
        <w:jc w:val="both"/>
        <w:rPr>
          <w:rFonts w:ascii="Verdana" w:hAnsi="Verdana" w:cs="Arial"/>
          <w:snapToGrid w:val="0"/>
          <w:sz w:val="20"/>
          <w:szCs w:val="20"/>
        </w:rPr>
      </w:pPr>
      <w:r w:rsidRPr="00C23FFE">
        <w:rPr>
          <w:rFonts w:ascii="Verdana" w:hAnsi="Verdana" w:cs="Arial"/>
          <w:snapToGrid w:val="0"/>
          <w:sz w:val="20"/>
          <w:szCs w:val="20"/>
        </w:rPr>
        <w:lastRenderedPageBreak/>
        <w:t>Ability to organize people and tasks, even when competing priorities emerge.</w:t>
      </w:r>
    </w:p>
    <w:p w:rsidR="00AD4544" w:rsidRPr="00C23FFE" w:rsidRDefault="00AD4544" w:rsidP="00AD4544">
      <w:pPr>
        <w:numPr>
          <w:ilvl w:val="0"/>
          <w:numId w:val="2"/>
        </w:numPr>
        <w:spacing w:after="0" w:line="240" w:lineRule="auto"/>
        <w:jc w:val="both"/>
        <w:rPr>
          <w:rFonts w:ascii="Verdana" w:hAnsi="Verdana" w:cs="Arial"/>
          <w:snapToGrid w:val="0"/>
          <w:sz w:val="20"/>
          <w:szCs w:val="20"/>
        </w:rPr>
      </w:pPr>
      <w:r w:rsidRPr="00C23FFE">
        <w:rPr>
          <w:rFonts w:ascii="Verdana" w:hAnsi="Verdana" w:cs="Arial"/>
          <w:snapToGrid w:val="0"/>
          <w:sz w:val="20"/>
          <w:szCs w:val="20"/>
        </w:rPr>
        <w:t xml:space="preserve">Ability to educate and provide concise information through informal and formal discussions. </w:t>
      </w:r>
    </w:p>
    <w:p w:rsidR="00AD4544" w:rsidRPr="00C23FFE" w:rsidRDefault="00AD4544" w:rsidP="00AD4544">
      <w:pPr>
        <w:spacing w:after="0" w:line="240" w:lineRule="auto"/>
        <w:rPr>
          <w:rFonts w:ascii="Verdana" w:hAnsi="Verdana"/>
          <w:sz w:val="20"/>
          <w:szCs w:val="20"/>
        </w:rPr>
      </w:pPr>
    </w:p>
    <w:p w:rsidR="00AD4544" w:rsidRPr="00C23FFE" w:rsidRDefault="00AD4544" w:rsidP="00AD4544">
      <w:pPr>
        <w:spacing w:after="0" w:line="240" w:lineRule="auto"/>
        <w:jc w:val="both"/>
        <w:rPr>
          <w:rFonts w:ascii="Verdana" w:hAnsi="Verdana" w:cs="Arial"/>
          <w:snapToGrid w:val="0"/>
          <w:sz w:val="20"/>
          <w:szCs w:val="20"/>
        </w:rPr>
      </w:pPr>
      <w:r w:rsidRPr="00C23FFE">
        <w:rPr>
          <w:rFonts w:ascii="Verdana" w:hAnsi="Verdana"/>
          <w:b/>
          <w:sz w:val="20"/>
          <w:szCs w:val="20"/>
        </w:rPr>
        <w:t>Working Conditions:</w:t>
      </w:r>
      <w:r w:rsidRPr="00C23FFE">
        <w:rPr>
          <w:rFonts w:ascii="Verdana" w:hAnsi="Verdana"/>
          <w:sz w:val="20"/>
          <w:szCs w:val="20"/>
        </w:rPr>
        <w:t xml:space="preserve"> </w:t>
      </w:r>
      <w:r w:rsidRPr="00C23FFE">
        <w:rPr>
          <w:rFonts w:ascii="Verdana" w:hAnsi="Verdana" w:cs="Arial"/>
          <w:snapToGrid w:val="0"/>
          <w:sz w:val="20"/>
          <w:szCs w:val="20"/>
        </w:rPr>
        <w:t xml:space="preserve">This position is full time, and will typically work Monday-Friday, 8:00-5:00, with the ability to have a flexible schedule that generally falls within core business hours. This position will generally sit for long periods of time. This position may travel to other clinics to attend meetings or complete audits and reviews. </w:t>
      </w:r>
    </w:p>
    <w:p w:rsidR="00AD4544" w:rsidRPr="00C23FFE" w:rsidRDefault="00AD4544" w:rsidP="00AD4544">
      <w:pPr>
        <w:spacing w:after="0" w:line="240" w:lineRule="auto"/>
        <w:rPr>
          <w:rFonts w:ascii="Verdana" w:hAnsi="Verdana"/>
          <w:sz w:val="20"/>
          <w:szCs w:val="20"/>
        </w:rPr>
      </w:pPr>
    </w:p>
    <w:sectPr w:rsidR="00AD4544" w:rsidRPr="00C23F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5B" w:rsidRDefault="00D81F5B" w:rsidP="00D81F5B">
      <w:pPr>
        <w:spacing w:after="0" w:line="240" w:lineRule="auto"/>
      </w:pPr>
      <w:r>
        <w:separator/>
      </w:r>
    </w:p>
  </w:endnote>
  <w:endnote w:type="continuationSeparator" w:id="0">
    <w:p w:rsidR="00D81F5B" w:rsidRDefault="00D81F5B" w:rsidP="00D8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5B" w:rsidRDefault="00D81F5B" w:rsidP="00D81F5B">
      <w:pPr>
        <w:spacing w:after="0" w:line="240" w:lineRule="auto"/>
      </w:pPr>
      <w:r>
        <w:separator/>
      </w:r>
    </w:p>
  </w:footnote>
  <w:footnote w:type="continuationSeparator" w:id="0">
    <w:p w:rsidR="00D81F5B" w:rsidRDefault="00D81F5B" w:rsidP="00D8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5B" w:rsidRPr="00D81F5B" w:rsidRDefault="00D81F5B" w:rsidP="00D81F5B">
    <w:pPr>
      <w:pStyle w:val="Header"/>
      <w:jc w:val="right"/>
      <w:rPr>
        <w:rFonts w:ascii="Verdana" w:hAnsi="Verdana"/>
      </w:rPr>
    </w:pPr>
    <w:r w:rsidRPr="00D81F5B">
      <w:rPr>
        <w:rFonts w:ascii="Verdana" w:hAnsi="Verdana"/>
      </w:rPr>
      <w:t>Risk &amp; Compliance Manager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B7FC7"/>
    <w:multiLevelType w:val="hybridMultilevel"/>
    <w:tmpl w:val="76D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24568"/>
    <w:multiLevelType w:val="hybridMultilevel"/>
    <w:tmpl w:val="EEA6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44"/>
    <w:rsid w:val="001C1820"/>
    <w:rsid w:val="00AD4544"/>
    <w:rsid w:val="00C23FFE"/>
    <w:rsid w:val="00D8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44"/>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5B"/>
  </w:style>
  <w:style w:type="paragraph" w:styleId="Footer">
    <w:name w:val="footer"/>
    <w:basedOn w:val="Normal"/>
    <w:link w:val="FooterChar"/>
    <w:uiPriority w:val="99"/>
    <w:unhideWhenUsed/>
    <w:rsid w:val="00D8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44"/>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5B"/>
  </w:style>
  <w:style w:type="paragraph" w:styleId="Footer">
    <w:name w:val="footer"/>
    <w:basedOn w:val="Normal"/>
    <w:link w:val="FooterChar"/>
    <w:uiPriority w:val="99"/>
    <w:unhideWhenUsed/>
    <w:rsid w:val="00D8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2017-08-18T20:36:00Z</dcterms:created>
  <dcterms:modified xsi:type="dcterms:W3CDTF">2017-09-15T20:27:00Z</dcterms:modified>
</cp:coreProperties>
</file>